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E1C956">
      <w:pPr>
        <w:spacing w:line="360" w:lineRule="auto"/>
        <w:ind w:right="157"/>
        <w:rPr>
          <w:rFonts w:hAnsi="宋体"/>
          <w:szCs w:val="21"/>
          <w:highlight w:val="none"/>
        </w:rPr>
      </w:pPr>
      <w:bookmarkStart w:id="0" w:name="_Toc43608492"/>
      <w:bookmarkStart w:id="1" w:name="_Toc18080273"/>
      <w:bookmarkStart w:id="2" w:name="_Toc43542313"/>
      <w:bookmarkStart w:id="3" w:name="_Toc44238075"/>
      <w:r>
        <w:rPr>
          <w:rFonts w:hint="eastAsia" w:hAnsi="宋体"/>
          <w:szCs w:val="21"/>
          <w:highlight w:val="none"/>
          <w:lang w:val="en-US" w:eastAsia="zh-CN"/>
        </w:rPr>
        <w:t>甲方</w:t>
      </w:r>
      <w:r>
        <w:rPr>
          <w:rFonts w:hAnsi="宋体"/>
          <w:szCs w:val="21"/>
          <w:highlight w:val="none"/>
        </w:rPr>
        <w:t>合同编号：</w:t>
      </w:r>
    </w:p>
    <w:p w14:paraId="6B9D85C6">
      <w:pPr>
        <w:spacing w:line="360" w:lineRule="auto"/>
        <w:ind w:right="157" w:firstLine="5103" w:firstLineChars="2430"/>
        <w:rPr>
          <w:rFonts w:hAnsi="宋体"/>
          <w:szCs w:val="21"/>
          <w:highlight w:val="none"/>
        </w:rPr>
      </w:pPr>
    </w:p>
    <w:p w14:paraId="635281A5">
      <w:pPr>
        <w:spacing w:line="360" w:lineRule="auto"/>
        <w:ind w:right="157"/>
        <w:rPr>
          <w:b/>
          <w:sz w:val="36"/>
          <w:szCs w:val="36"/>
          <w:highlight w:val="none"/>
        </w:rPr>
      </w:pPr>
    </w:p>
    <w:p w14:paraId="574F934B">
      <w:pPr>
        <w:spacing w:line="360" w:lineRule="auto"/>
        <w:ind w:right="157"/>
        <w:jc w:val="center"/>
        <w:rPr>
          <w:rFonts w:hint="eastAsia" w:eastAsia="黑体"/>
          <w:bCs/>
          <w:sz w:val="52"/>
          <w:szCs w:val="52"/>
          <w:highlight w:val="none"/>
          <w:lang w:eastAsia="zh-CN"/>
        </w:rPr>
      </w:pPr>
      <w:r>
        <w:rPr>
          <w:rFonts w:hint="eastAsia" w:eastAsia="黑体"/>
          <w:bCs/>
          <w:sz w:val="52"/>
          <w:szCs w:val="52"/>
          <w:highlight w:val="none"/>
          <w:lang w:eastAsia="zh-CN"/>
        </w:rPr>
        <w:t>阳朔县深能环保有限公司</w:t>
      </w:r>
    </w:p>
    <w:p w14:paraId="3360C72E">
      <w:pPr>
        <w:spacing w:line="360" w:lineRule="auto"/>
        <w:ind w:right="157"/>
        <w:jc w:val="center"/>
        <w:rPr>
          <w:rFonts w:ascii="黑体" w:hAnsi="宋体" w:eastAsia="黑体"/>
          <w:sz w:val="48"/>
          <w:szCs w:val="48"/>
          <w:highlight w:val="none"/>
        </w:rPr>
      </w:pPr>
      <w:r>
        <w:rPr>
          <w:rFonts w:eastAsia="黑体"/>
          <w:bCs/>
          <w:sz w:val="52"/>
          <w:szCs w:val="52"/>
          <w:highlight w:val="none"/>
        </w:rPr>
        <w:t>202</w:t>
      </w:r>
      <w:r>
        <w:rPr>
          <w:rFonts w:hint="eastAsia" w:eastAsia="黑体"/>
          <w:bCs/>
          <w:sz w:val="52"/>
          <w:szCs w:val="52"/>
          <w:highlight w:val="none"/>
          <w:lang w:val="en-US" w:eastAsia="zh-CN"/>
        </w:rPr>
        <w:t>6</w:t>
      </w:r>
      <w:r>
        <w:rPr>
          <w:rFonts w:hint="eastAsia" w:eastAsia="黑体"/>
          <w:bCs/>
          <w:sz w:val="52"/>
          <w:szCs w:val="52"/>
          <w:highlight w:val="none"/>
        </w:rPr>
        <w:t>年度</w:t>
      </w:r>
      <w:r>
        <w:rPr>
          <w:rFonts w:hint="eastAsia" w:eastAsia="黑体"/>
          <w:bCs/>
          <w:sz w:val="52"/>
          <w:szCs w:val="52"/>
          <w:highlight w:val="none"/>
          <w:shd w:val="clear"/>
        </w:rPr>
        <w:t>技术监督咨询服务合同</w:t>
      </w:r>
    </w:p>
    <w:p w14:paraId="7C691CE9">
      <w:pPr>
        <w:spacing w:line="360" w:lineRule="auto"/>
        <w:ind w:left="-21" w:leftChars="-10" w:right="-403" w:firstLine="3373" w:firstLineChars="1200"/>
        <w:rPr>
          <w:rFonts w:hAnsi="宋体"/>
          <w:b/>
          <w:sz w:val="28"/>
          <w:szCs w:val="28"/>
          <w:highlight w:val="none"/>
        </w:rPr>
      </w:pPr>
    </w:p>
    <w:p w14:paraId="30699983">
      <w:pPr>
        <w:spacing w:line="360" w:lineRule="auto"/>
        <w:ind w:right="-403"/>
        <w:jc w:val="center"/>
        <w:rPr>
          <w:b/>
          <w:sz w:val="30"/>
          <w:szCs w:val="30"/>
          <w:highlight w:val="none"/>
        </w:rPr>
      </w:pPr>
    </w:p>
    <w:p w14:paraId="4767EF2E">
      <w:pPr>
        <w:spacing w:line="360" w:lineRule="auto"/>
        <w:rPr>
          <w:highlight w:val="none"/>
        </w:rPr>
      </w:pPr>
    </w:p>
    <w:p w14:paraId="6C9DE005">
      <w:pPr>
        <w:spacing w:line="360" w:lineRule="auto"/>
        <w:rPr>
          <w:highlight w:val="none"/>
        </w:rPr>
      </w:pPr>
    </w:p>
    <w:p w14:paraId="3158C695">
      <w:pPr>
        <w:spacing w:line="360" w:lineRule="auto"/>
        <w:rPr>
          <w:highlight w:val="none"/>
        </w:rPr>
      </w:pPr>
    </w:p>
    <w:p w14:paraId="41F1AD2F">
      <w:pPr>
        <w:spacing w:line="360" w:lineRule="auto"/>
        <w:rPr>
          <w:highlight w:val="none"/>
        </w:rPr>
      </w:pPr>
    </w:p>
    <w:p w14:paraId="30578225">
      <w:pPr>
        <w:spacing w:line="360" w:lineRule="auto"/>
        <w:jc w:val="center"/>
        <w:rPr>
          <w:highlight w:val="none"/>
        </w:rPr>
      </w:pPr>
    </w:p>
    <w:p w14:paraId="563B70CE">
      <w:pPr>
        <w:spacing w:line="360" w:lineRule="auto"/>
        <w:jc w:val="center"/>
        <w:rPr>
          <w:highlight w:val="none"/>
        </w:rPr>
      </w:pPr>
    </w:p>
    <w:p w14:paraId="2E83517D">
      <w:pPr>
        <w:spacing w:line="360" w:lineRule="auto"/>
        <w:jc w:val="center"/>
        <w:rPr>
          <w:highlight w:val="none"/>
        </w:rPr>
      </w:pPr>
    </w:p>
    <w:p w14:paraId="36E11364">
      <w:pPr>
        <w:spacing w:line="360" w:lineRule="auto"/>
        <w:jc w:val="center"/>
        <w:rPr>
          <w:highlight w:val="none"/>
        </w:rPr>
      </w:pPr>
    </w:p>
    <w:p w14:paraId="1EC800CF">
      <w:pPr>
        <w:spacing w:line="360" w:lineRule="auto"/>
        <w:jc w:val="center"/>
        <w:rPr>
          <w:highlight w:val="none"/>
        </w:rPr>
      </w:pPr>
    </w:p>
    <w:p w14:paraId="0CEC2BB4">
      <w:pPr>
        <w:spacing w:line="360" w:lineRule="auto"/>
        <w:jc w:val="center"/>
        <w:rPr>
          <w:highlight w:val="none"/>
        </w:rPr>
      </w:pPr>
    </w:p>
    <w:p w14:paraId="3A54732A">
      <w:pPr>
        <w:spacing w:line="360" w:lineRule="auto"/>
        <w:jc w:val="center"/>
        <w:rPr>
          <w:highlight w:val="none"/>
        </w:rPr>
      </w:pPr>
    </w:p>
    <w:p w14:paraId="24190DBD">
      <w:pPr>
        <w:spacing w:line="360" w:lineRule="auto"/>
        <w:jc w:val="center"/>
        <w:rPr>
          <w:highlight w:val="none"/>
        </w:rPr>
      </w:pPr>
    </w:p>
    <w:p w14:paraId="4100FC36">
      <w:pPr>
        <w:spacing w:line="360" w:lineRule="auto"/>
        <w:jc w:val="center"/>
        <w:rPr>
          <w:highlight w:val="none"/>
        </w:rPr>
      </w:pPr>
    </w:p>
    <w:p w14:paraId="40FB9077">
      <w:pPr>
        <w:spacing w:line="360" w:lineRule="auto"/>
        <w:jc w:val="center"/>
        <w:rPr>
          <w:sz w:val="28"/>
          <w:highlight w:val="none"/>
        </w:rPr>
      </w:pPr>
    </w:p>
    <w:p w14:paraId="092CC8D3">
      <w:pPr>
        <w:spacing w:line="360" w:lineRule="auto"/>
        <w:jc w:val="center"/>
        <w:rPr>
          <w:sz w:val="28"/>
          <w:highlight w:val="none"/>
        </w:rPr>
      </w:pPr>
    </w:p>
    <w:p w14:paraId="00C91230">
      <w:pPr>
        <w:spacing w:line="360" w:lineRule="auto"/>
        <w:ind w:left="-21" w:right="-403" w:firstLine="21"/>
        <w:jc w:val="center"/>
        <w:rPr>
          <w:b/>
          <w:sz w:val="32"/>
          <w:szCs w:val="32"/>
          <w:highlight w:val="none"/>
        </w:rPr>
      </w:pPr>
    </w:p>
    <w:p w14:paraId="3DA9D0B1">
      <w:pPr>
        <w:spacing w:line="360" w:lineRule="auto"/>
        <w:ind w:left="-21" w:right="-403" w:firstLine="21"/>
        <w:jc w:val="center"/>
        <w:rPr>
          <w:b/>
          <w:sz w:val="32"/>
          <w:szCs w:val="32"/>
          <w:highlight w:val="none"/>
        </w:rPr>
      </w:pPr>
    </w:p>
    <w:p w14:paraId="51E97039">
      <w:pPr>
        <w:spacing w:line="360" w:lineRule="auto"/>
        <w:ind w:left="-21" w:leftChars="-10" w:right="-403" w:firstLine="1304" w:firstLineChars="406"/>
        <w:rPr>
          <w:rFonts w:hint="eastAsia" w:eastAsia="宋体"/>
          <w:sz w:val="30"/>
          <w:szCs w:val="30"/>
          <w:highlight w:val="none"/>
          <w:lang w:eastAsia="zh-CN"/>
        </w:rPr>
      </w:pPr>
      <w:r>
        <w:rPr>
          <w:rFonts w:hAnsi="Arial"/>
          <w:b/>
          <w:sz w:val="32"/>
          <w:szCs w:val="32"/>
          <w:highlight w:val="none"/>
        </w:rPr>
        <w:t>委托方（甲方）：</w:t>
      </w:r>
      <w:r>
        <w:rPr>
          <w:rFonts w:hint="eastAsia" w:ascii="宋体" w:hAnsi="宋体"/>
          <w:b/>
          <w:bCs/>
          <w:sz w:val="32"/>
          <w:szCs w:val="32"/>
          <w:highlight w:val="none"/>
          <w:lang w:eastAsia="zh-CN"/>
        </w:rPr>
        <w:t>阳朔县深能环保有限公司</w:t>
      </w:r>
    </w:p>
    <w:p w14:paraId="2978D8A7">
      <w:pPr>
        <w:spacing w:line="360" w:lineRule="auto"/>
        <w:ind w:left="-21" w:leftChars="-10" w:right="-403" w:firstLine="1304" w:firstLineChars="406"/>
        <w:rPr>
          <w:rFonts w:hint="eastAsia" w:eastAsia="宋体"/>
          <w:b/>
          <w:bCs/>
          <w:sz w:val="32"/>
          <w:szCs w:val="32"/>
          <w:highlight w:val="none"/>
          <w:lang w:eastAsia="zh-CN"/>
        </w:rPr>
      </w:pPr>
      <w:r>
        <w:rPr>
          <w:rFonts w:hAnsi="宋体"/>
          <w:b/>
          <w:bCs/>
          <w:sz w:val="32"/>
          <w:szCs w:val="32"/>
          <w:highlight w:val="none"/>
        </w:rPr>
        <w:t>承接方（乙方）：</w:t>
      </w:r>
      <w:r>
        <w:rPr>
          <w:rFonts w:hint="eastAsia" w:hAnsi="宋体"/>
          <w:b/>
          <w:bCs/>
          <w:sz w:val="32"/>
          <w:szCs w:val="32"/>
          <w:highlight w:val="none"/>
        </w:rPr>
        <w:t>安徽新力电业高技术有限责任公司</w:t>
      </w:r>
      <w:r>
        <w:rPr>
          <w:rFonts w:hint="eastAsia" w:hAnsi="宋体"/>
          <w:b/>
          <w:bCs/>
          <w:sz w:val="32"/>
          <w:szCs w:val="32"/>
          <w:highlight w:val="none"/>
          <w:lang w:val="en-US" w:eastAsia="zh-CN"/>
        </w:rPr>
        <w:t xml:space="preserve"> </w:t>
      </w:r>
    </w:p>
    <w:p w14:paraId="179C17BE">
      <w:pPr>
        <w:spacing w:line="360" w:lineRule="auto"/>
        <w:ind w:right="-403" w:firstLine="1285" w:firstLineChars="400"/>
        <w:rPr>
          <w:b/>
          <w:bCs/>
          <w:sz w:val="32"/>
          <w:szCs w:val="32"/>
          <w:highlight w:val="none"/>
        </w:rPr>
        <w:sectPr>
          <w:headerReference r:id="rId3" w:type="default"/>
          <w:footerReference r:id="rId4" w:type="default"/>
          <w:pgSz w:w="11907" w:h="16840"/>
          <w:pgMar w:top="1418" w:right="1418" w:bottom="1418" w:left="1418" w:header="851" w:footer="907" w:gutter="0"/>
          <w:cols w:space="720" w:num="1"/>
        </w:sectPr>
      </w:pPr>
      <w:r>
        <w:rPr>
          <w:rFonts w:hAnsi="宋体"/>
          <w:b/>
          <w:bCs/>
          <w:sz w:val="32"/>
          <w:szCs w:val="32"/>
          <w:highlight w:val="none"/>
        </w:rPr>
        <w:t>签订日期：</w:t>
      </w:r>
      <w:r>
        <w:rPr>
          <w:b/>
          <w:bCs/>
          <w:sz w:val="32"/>
          <w:szCs w:val="32"/>
          <w:highlight w:val="none"/>
        </w:rPr>
        <w:t xml:space="preserve"> 20</w:t>
      </w:r>
      <w:r>
        <w:rPr>
          <w:rFonts w:hint="eastAsia"/>
          <w:b/>
          <w:bCs/>
          <w:sz w:val="32"/>
          <w:szCs w:val="32"/>
          <w:highlight w:val="none"/>
        </w:rPr>
        <w:t>2</w:t>
      </w:r>
      <w:r>
        <w:rPr>
          <w:rFonts w:hint="eastAsia"/>
          <w:b/>
          <w:bCs/>
          <w:sz w:val="32"/>
          <w:szCs w:val="32"/>
          <w:highlight w:val="none"/>
          <w:lang w:val="en-US" w:eastAsia="zh-CN"/>
        </w:rPr>
        <w:t>6</w:t>
      </w:r>
      <w:r>
        <w:rPr>
          <w:rFonts w:hAnsi="宋体"/>
          <w:b/>
          <w:bCs/>
          <w:sz w:val="32"/>
          <w:szCs w:val="32"/>
          <w:highlight w:val="none"/>
        </w:rPr>
        <w:t>年</w:t>
      </w:r>
      <w:r>
        <w:rPr>
          <w:rFonts w:hint="eastAsia"/>
          <w:b/>
          <w:bCs/>
          <w:sz w:val="32"/>
          <w:szCs w:val="32"/>
          <w:highlight w:val="none"/>
          <w:lang w:val="en-US" w:eastAsia="zh-CN"/>
        </w:rPr>
        <w:t xml:space="preserve">  </w:t>
      </w:r>
      <w:r>
        <w:rPr>
          <w:rFonts w:hint="eastAsia"/>
          <w:b/>
          <w:bCs/>
          <w:sz w:val="32"/>
          <w:szCs w:val="32"/>
          <w:highlight w:val="none"/>
        </w:rPr>
        <w:t>月</w:t>
      </w:r>
    </w:p>
    <w:p w14:paraId="7855E8C8">
      <w:pPr>
        <w:pStyle w:val="3"/>
        <w:spacing w:beforeLines="50" w:afterLines="50"/>
        <w:jc w:val="both"/>
        <w:rPr>
          <w:rFonts w:ascii="Times New Roman" w:hAnsi="Times New Roman"/>
          <w:highlight w:val="none"/>
        </w:rPr>
      </w:pPr>
      <w:r>
        <w:rPr>
          <w:rFonts w:ascii="Times New Roman" w:hAnsi="Times New Roman"/>
          <w:highlight w:val="none"/>
        </w:rPr>
        <w:t xml:space="preserve">1  </w:t>
      </w:r>
      <w:r>
        <w:rPr>
          <w:rFonts w:ascii="Times New Roman"/>
          <w:highlight w:val="none"/>
        </w:rPr>
        <w:t>定义</w:t>
      </w:r>
    </w:p>
    <w:p w14:paraId="4CE52C37">
      <w:pPr>
        <w:spacing w:line="360" w:lineRule="auto"/>
        <w:ind w:firstLine="520" w:firstLineChars="200"/>
        <w:rPr>
          <w:spacing w:val="10"/>
          <w:sz w:val="24"/>
          <w:highlight w:val="none"/>
        </w:rPr>
      </w:pPr>
      <w:r>
        <w:rPr>
          <w:spacing w:val="10"/>
          <w:sz w:val="24"/>
          <w:highlight w:val="none"/>
        </w:rPr>
        <w:t>本文件和附件中所用下列名词的含义在此予以确定。</w:t>
      </w:r>
    </w:p>
    <w:p w14:paraId="3808D418">
      <w:pPr>
        <w:spacing w:line="360" w:lineRule="auto"/>
        <w:rPr>
          <w:spacing w:val="10"/>
          <w:sz w:val="24"/>
          <w:highlight w:val="none"/>
        </w:rPr>
      </w:pPr>
      <w:r>
        <w:rPr>
          <w:spacing w:val="10"/>
          <w:sz w:val="24"/>
          <w:highlight w:val="none"/>
        </w:rPr>
        <w:t xml:space="preserve">1.1 </w:t>
      </w:r>
      <w:r>
        <w:rPr>
          <w:rFonts w:hint="eastAsia"/>
          <w:spacing w:val="10"/>
          <w:sz w:val="24"/>
          <w:highlight w:val="none"/>
        </w:rPr>
        <w:t>“</w:t>
      </w:r>
      <w:r>
        <w:rPr>
          <w:spacing w:val="10"/>
          <w:sz w:val="24"/>
          <w:highlight w:val="none"/>
        </w:rPr>
        <w:t>甲方</w:t>
      </w:r>
      <w:r>
        <w:rPr>
          <w:rFonts w:hint="eastAsia"/>
          <w:spacing w:val="10"/>
          <w:sz w:val="24"/>
          <w:highlight w:val="none"/>
        </w:rPr>
        <w:t>”</w:t>
      </w:r>
      <w:r>
        <w:rPr>
          <w:spacing w:val="10"/>
          <w:sz w:val="24"/>
          <w:highlight w:val="none"/>
        </w:rPr>
        <w:t>是指</w:t>
      </w:r>
      <w:r>
        <w:rPr>
          <w:rFonts w:hint="eastAsia"/>
          <w:spacing w:val="10"/>
          <w:sz w:val="24"/>
          <w:highlight w:val="none"/>
          <w:lang w:eastAsia="zh-CN"/>
        </w:rPr>
        <w:t>阳朔县深能环保有限公司</w:t>
      </w:r>
      <w:r>
        <w:rPr>
          <w:spacing w:val="10"/>
          <w:sz w:val="24"/>
          <w:highlight w:val="none"/>
        </w:rPr>
        <w:t>，包括该法人的法定代表人、法人的继任方和法人的受让方。</w:t>
      </w:r>
    </w:p>
    <w:p w14:paraId="72CD9909">
      <w:pPr>
        <w:spacing w:line="360" w:lineRule="auto"/>
        <w:rPr>
          <w:spacing w:val="10"/>
          <w:sz w:val="24"/>
          <w:highlight w:val="none"/>
        </w:rPr>
      </w:pPr>
      <w:r>
        <w:rPr>
          <w:spacing w:val="10"/>
          <w:sz w:val="24"/>
          <w:highlight w:val="none"/>
        </w:rPr>
        <w:t xml:space="preserve">1.2 </w:t>
      </w:r>
      <w:r>
        <w:rPr>
          <w:rFonts w:hint="eastAsia"/>
          <w:spacing w:val="10"/>
          <w:sz w:val="24"/>
          <w:highlight w:val="none"/>
        </w:rPr>
        <w:t>“</w:t>
      </w:r>
      <w:r>
        <w:rPr>
          <w:spacing w:val="10"/>
          <w:sz w:val="24"/>
          <w:highlight w:val="none"/>
        </w:rPr>
        <w:t>乙方</w:t>
      </w:r>
      <w:r>
        <w:rPr>
          <w:rFonts w:hint="eastAsia"/>
          <w:spacing w:val="10"/>
          <w:sz w:val="24"/>
          <w:highlight w:val="none"/>
        </w:rPr>
        <w:t>”</w:t>
      </w:r>
      <w:r>
        <w:rPr>
          <w:spacing w:val="10"/>
          <w:sz w:val="24"/>
          <w:highlight w:val="none"/>
        </w:rPr>
        <w:t>是指</w:t>
      </w:r>
      <w:r>
        <w:rPr>
          <w:rFonts w:hint="eastAsia"/>
          <w:bCs/>
          <w:spacing w:val="10"/>
          <w:sz w:val="24"/>
          <w:highlight w:val="none"/>
          <w:u w:val="single"/>
          <w:lang w:eastAsia="zh-CN"/>
        </w:rPr>
        <w:t>安徽新力电业高技术有限责任公司</w:t>
      </w:r>
      <w:r>
        <w:rPr>
          <w:rFonts w:hint="eastAsia"/>
          <w:bCs/>
          <w:spacing w:val="10"/>
          <w:sz w:val="24"/>
          <w:highlight w:val="none"/>
          <w:u w:val="single"/>
          <w:lang w:val="en-US" w:eastAsia="zh-CN"/>
        </w:rPr>
        <w:t xml:space="preserve"> </w:t>
      </w:r>
      <w:r>
        <w:rPr>
          <w:spacing w:val="10"/>
          <w:sz w:val="24"/>
          <w:highlight w:val="none"/>
        </w:rPr>
        <w:t>，包括该法人的法定代表人、法人的继任方和法人的受让方。</w:t>
      </w:r>
    </w:p>
    <w:p w14:paraId="2D55FB7C">
      <w:pPr>
        <w:spacing w:line="360" w:lineRule="auto"/>
        <w:rPr>
          <w:spacing w:val="10"/>
          <w:sz w:val="24"/>
          <w:highlight w:val="none"/>
        </w:rPr>
      </w:pPr>
      <w:r>
        <w:rPr>
          <w:spacing w:val="10"/>
          <w:sz w:val="24"/>
          <w:highlight w:val="none"/>
        </w:rPr>
        <w:t xml:space="preserve">1.3 </w:t>
      </w:r>
      <w:r>
        <w:rPr>
          <w:rFonts w:hint="eastAsia"/>
          <w:spacing w:val="10"/>
          <w:sz w:val="24"/>
          <w:highlight w:val="none"/>
        </w:rPr>
        <w:t>“</w:t>
      </w:r>
      <w:r>
        <w:rPr>
          <w:spacing w:val="10"/>
          <w:sz w:val="24"/>
          <w:highlight w:val="none"/>
        </w:rPr>
        <w:t>合同</w:t>
      </w:r>
      <w:r>
        <w:rPr>
          <w:rFonts w:hint="eastAsia"/>
          <w:spacing w:val="10"/>
          <w:sz w:val="24"/>
          <w:highlight w:val="none"/>
        </w:rPr>
        <w:t>”</w:t>
      </w:r>
      <w:r>
        <w:rPr>
          <w:spacing w:val="10"/>
          <w:sz w:val="24"/>
          <w:highlight w:val="none"/>
        </w:rPr>
        <w:t>是指本文件及其附件中的所有部分。</w:t>
      </w:r>
    </w:p>
    <w:p w14:paraId="0EBA383D">
      <w:pPr>
        <w:spacing w:line="360" w:lineRule="auto"/>
        <w:rPr>
          <w:spacing w:val="10"/>
          <w:sz w:val="24"/>
          <w:highlight w:val="none"/>
        </w:rPr>
      </w:pPr>
      <w:r>
        <w:rPr>
          <w:spacing w:val="10"/>
          <w:sz w:val="24"/>
          <w:highlight w:val="none"/>
        </w:rPr>
        <w:t xml:space="preserve">1.4 </w:t>
      </w:r>
      <w:r>
        <w:rPr>
          <w:rFonts w:hint="eastAsia"/>
          <w:spacing w:val="10"/>
          <w:sz w:val="24"/>
          <w:highlight w:val="none"/>
        </w:rPr>
        <w:t>“</w:t>
      </w:r>
      <w:r>
        <w:rPr>
          <w:spacing w:val="10"/>
          <w:sz w:val="24"/>
          <w:highlight w:val="none"/>
        </w:rPr>
        <w:t>合同价格</w:t>
      </w:r>
      <w:r>
        <w:rPr>
          <w:rFonts w:hint="eastAsia"/>
          <w:spacing w:val="10"/>
          <w:sz w:val="24"/>
          <w:highlight w:val="none"/>
        </w:rPr>
        <w:t>”</w:t>
      </w:r>
      <w:r>
        <w:rPr>
          <w:spacing w:val="10"/>
          <w:sz w:val="24"/>
          <w:highlight w:val="none"/>
        </w:rPr>
        <w:t>是指在本合同4款中规定的部分</w:t>
      </w:r>
      <w:r>
        <w:rPr>
          <w:rFonts w:hint="eastAsia"/>
          <w:spacing w:val="10"/>
          <w:sz w:val="24"/>
          <w:highlight w:val="none"/>
        </w:rPr>
        <w:t>。</w:t>
      </w:r>
    </w:p>
    <w:p w14:paraId="52CFA6B9">
      <w:pPr>
        <w:spacing w:line="360" w:lineRule="auto"/>
        <w:rPr>
          <w:spacing w:val="10"/>
          <w:sz w:val="24"/>
          <w:highlight w:val="none"/>
        </w:rPr>
      </w:pPr>
      <w:r>
        <w:rPr>
          <w:spacing w:val="10"/>
          <w:sz w:val="24"/>
          <w:highlight w:val="none"/>
        </w:rPr>
        <w:t xml:space="preserve">1.5 </w:t>
      </w:r>
      <w:r>
        <w:rPr>
          <w:rFonts w:hint="eastAsia"/>
          <w:spacing w:val="10"/>
          <w:sz w:val="24"/>
          <w:highlight w:val="none"/>
        </w:rPr>
        <w:t>“</w:t>
      </w:r>
      <w:r>
        <w:rPr>
          <w:spacing w:val="10"/>
          <w:sz w:val="24"/>
          <w:highlight w:val="none"/>
        </w:rPr>
        <w:t>生效日期</w:t>
      </w:r>
      <w:r>
        <w:rPr>
          <w:rFonts w:hint="eastAsia"/>
          <w:spacing w:val="10"/>
          <w:sz w:val="24"/>
          <w:highlight w:val="none"/>
        </w:rPr>
        <w:t>”</w:t>
      </w:r>
      <w:r>
        <w:rPr>
          <w:spacing w:val="10"/>
          <w:sz w:val="24"/>
          <w:highlight w:val="none"/>
        </w:rPr>
        <w:t>是指本合同12款中所规定的合同的生效日期。</w:t>
      </w:r>
    </w:p>
    <w:p w14:paraId="7AEA5038">
      <w:pPr>
        <w:pStyle w:val="3"/>
        <w:spacing w:beforeLines="50" w:afterLines="50"/>
        <w:rPr>
          <w:rFonts w:ascii="Times New Roman" w:hAnsi="Times New Roman"/>
          <w:highlight w:val="none"/>
        </w:rPr>
      </w:pPr>
      <w:r>
        <w:rPr>
          <w:rFonts w:ascii="Times New Roman" w:hAnsi="Times New Roman"/>
          <w:highlight w:val="none"/>
        </w:rPr>
        <w:t xml:space="preserve">2  </w:t>
      </w:r>
      <w:r>
        <w:rPr>
          <w:rFonts w:ascii="Times New Roman"/>
          <w:highlight w:val="none"/>
        </w:rPr>
        <w:t>项目情况</w:t>
      </w:r>
    </w:p>
    <w:p w14:paraId="2831CED4">
      <w:pPr>
        <w:spacing w:line="360" w:lineRule="auto"/>
        <w:rPr>
          <w:spacing w:val="10"/>
          <w:sz w:val="24"/>
          <w:highlight w:val="none"/>
        </w:rPr>
      </w:pPr>
      <w:r>
        <w:rPr>
          <w:spacing w:val="10"/>
          <w:sz w:val="24"/>
          <w:highlight w:val="none"/>
        </w:rPr>
        <w:t>2.1</w:t>
      </w:r>
      <w:r>
        <w:rPr>
          <w:rFonts w:hint="eastAsia"/>
          <w:spacing w:val="10"/>
          <w:sz w:val="24"/>
          <w:highlight w:val="none"/>
        </w:rPr>
        <w:t>为了保证我司</w:t>
      </w:r>
      <w:r>
        <w:rPr>
          <w:rFonts w:hint="eastAsia"/>
          <w:spacing w:val="10"/>
          <w:sz w:val="24"/>
          <w:highlight w:val="none"/>
          <w:lang w:eastAsia="zh-CN"/>
        </w:rPr>
        <w:t>阳朔县深能环保有限公司</w:t>
      </w:r>
      <w:r>
        <w:rPr>
          <w:rFonts w:hint="eastAsia"/>
          <w:spacing w:val="10"/>
          <w:sz w:val="24"/>
          <w:highlight w:val="none"/>
        </w:rPr>
        <w:t>（以下简称甲方）安全、经济发电、稳定供电，甲方拟委托安徽新力电业高技术有限责任公司（以下简称乙方）对甲方发电机组开展技术监督服务工作,甲乙双方就</w:t>
      </w:r>
      <w:r>
        <w:rPr>
          <w:rFonts w:hint="eastAsia"/>
          <w:spacing w:val="10"/>
          <w:sz w:val="24"/>
          <w:highlight w:val="none"/>
          <w:lang w:eastAsia="zh-CN"/>
        </w:rPr>
        <w:t>阳朔县深能环保有限公司</w:t>
      </w:r>
      <w:r>
        <w:rPr>
          <w:spacing w:val="10"/>
          <w:sz w:val="24"/>
          <w:highlight w:val="none"/>
        </w:rPr>
        <w:t>202</w:t>
      </w:r>
      <w:r>
        <w:rPr>
          <w:rFonts w:hint="eastAsia"/>
          <w:spacing w:val="10"/>
          <w:sz w:val="24"/>
          <w:highlight w:val="none"/>
          <w:lang w:val="en-US" w:eastAsia="zh-CN"/>
        </w:rPr>
        <w:t>6</w:t>
      </w:r>
      <w:r>
        <w:rPr>
          <w:rFonts w:hint="eastAsia"/>
          <w:spacing w:val="10"/>
          <w:sz w:val="24"/>
          <w:highlight w:val="none"/>
        </w:rPr>
        <w:t>年度技术监督工作服务的专项技术服务事宜经过平等协商，在真实、充分地表达各自意愿的基础上，根据《中华人民共和国民法典》的规定，达成如下协议,并由双方共同恪守。</w:t>
      </w:r>
    </w:p>
    <w:p w14:paraId="7D69EC7F">
      <w:pPr>
        <w:spacing w:line="360" w:lineRule="auto"/>
        <w:rPr>
          <w:spacing w:val="10"/>
          <w:sz w:val="24"/>
          <w:highlight w:val="none"/>
        </w:rPr>
      </w:pPr>
      <w:r>
        <w:rPr>
          <w:rFonts w:hint="eastAsia"/>
          <w:spacing w:val="10"/>
          <w:sz w:val="24"/>
          <w:highlight w:val="none"/>
        </w:rPr>
        <w:t>2.2甲方委托乙方按电力设备、人员技术服务相关规定要求的各项技术指标及制度，对甲方进行全方位、全过程、闭环的技术服务工作。技术服务包括绝缘、化学、金属、锅炉、电测、热工、环保、继电保护及安全自动装置、汽轮机、电能质量、励磁、脱硫等十四项专业内容。详细的工作内容见附件一。</w:t>
      </w:r>
    </w:p>
    <w:p w14:paraId="335E9CFD">
      <w:pPr>
        <w:spacing w:line="360" w:lineRule="auto"/>
        <w:rPr>
          <w:spacing w:val="10"/>
          <w:sz w:val="24"/>
          <w:highlight w:val="none"/>
        </w:rPr>
      </w:pPr>
      <w:r>
        <w:rPr>
          <w:rFonts w:hint="eastAsia"/>
          <w:spacing w:val="10"/>
          <w:sz w:val="24"/>
          <w:highlight w:val="none"/>
        </w:rPr>
        <w:t>2.3 本合同为电力技术固定服务项目。</w:t>
      </w:r>
    </w:p>
    <w:p w14:paraId="50A1488E">
      <w:pPr>
        <w:spacing w:line="360" w:lineRule="auto"/>
        <w:rPr>
          <w:spacing w:val="10"/>
          <w:sz w:val="24"/>
          <w:highlight w:val="none"/>
        </w:rPr>
      </w:pPr>
      <w:r>
        <w:rPr>
          <w:spacing w:val="10"/>
          <w:sz w:val="24"/>
          <w:highlight w:val="none"/>
        </w:rPr>
        <w:t>2.</w:t>
      </w:r>
      <w:r>
        <w:rPr>
          <w:rFonts w:hint="eastAsia"/>
          <w:spacing w:val="10"/>
          <w:sz w:val="24"/>
          <w:highlight w:val="none"/>
        </w:rPr>
        <w:t>4</w:t>
      </w:r>
      <w:r>
        <w:rPr>
          <w:spacing w:val="10"/>
          <w:sz w:val="24"/>
          <w:highlight w:val="none"/>
        </w:rPr>
        <w:t xml:space="preserve"> 乙方对于服务对象的</w:t>
      </w:r>
      <w:r>
        <w:rPr>
          <w:rFonts w:hint="eastAsia"/>
          <w:spacing w:val="10"/>
          <w:sz w:val="24"/>
          <w:highlight w:val="none"/>
        </w:rPr>
        <w:t>相关</w:t>
      </w:r>
      <w:r>
        <w:rPr>
          <w:spacing w:val="10"/>
          <w:sz w:val="24"/>
          <w:highlight w:val="none"/>
        </w:rPr>
        <w:t>工作，既要通过检查、分析等手段发现存在的问题，又要负责协助解决问题，对服务对象</w:t>
      </w:r>
      <w:r>
        <w:rPr>
          <w:rFonts w:hint="eastAsia"/>
          <w:spacing w:val="10"/>
          <w:sz w:val="24"/>
          <w:highlight w:val="none"/>
        </w:rPr>
        <w:t>在生产过程</w:t>
      </w:r>
      <w:r>
        <w:rPr>
          <w:spacing w:val="10"/>
          <w:sz w:val="24"/>
          <w:highlight w:val="none"/>
        </w:rPr>
        <w:t>中存在的问题进行全过程闭环控制，保证发电企业设备安全、稳定、经济运行。</w:t>
      </w:r>
    </w:p>
    <w:p w14:paraId="1128E15F">
      <w:pPr>
        <w:spacing w:line="360" w:lineRule="auto"/>
        <w:rPr>
          <w:spacing w:val="10"/>
          <w:sz w:val="24"/>
          <w:highlight w:val="none"/>
        </w:rPr>
      </w:pPr>
      <w:r>
        <w:rPr>
          <w:spacing w:val="10"/>
          <w:sz w:val="24"/>
          <w:highlight w:val="none"/>
        </w:rPr>
        <w:t>2.</w:t>
      </w:r>
      <w:r>
        <w:rPr>
          <w:rFonts w:hint="eastAsia"/>
          <w:spacing w:val="10"/>
          <w:sz w:val="24"/>
          <w:highlight w:val="none"/>
        </w:rPr>
        <w:t>5</w:t>
      </w:r>
      <w:r>
        <w:rPr>
          <w:spacing w:val="10"/>
          <w:sz w:val="24"/>
          <w:highlight w:val="none"/>
        </w:rPr>
        <w:t xml:space="preserve"> 乙方对服务对象由于</w:t>
      </w:r>
      <w:r>
        <w:rPr>
          <w:rFonts w:hint="eastAsia"/>
          <w:spacing w:val="10"/>
          <w:sz w:val="24"/>
          <w:highlight w:val="none"/>
        </w:rPr>
        <w:t>技术服务</w:t>
      </w:r>
      <w:r>
        <w:rPr>
          <w:spacing w:val="10"/>
          <w:sz w:val="24"/>
          <w:highlight w:val="none"/>
        </w:rPr>
        <w:t>不力而发生的设备损坏事故承担连带责任，并协助完成各项关键技术指标。</w:t>
      </w:r>
    </w:p>
    <w:p w14:paraId="51674F83">
      <w:pPr>
        <w:pStyle w:val="3"/>
        <w:spacing w:beforeLines="50" w:afterLines="50"/>
        <w:rPr>
          <w:rFonts w:ascii="Times New Roman"/>
          <w:highlight w:val="none"/>
        </w:rPr>
      </w:pPr>
      <w:r>
        <w:rPr>
          <w:rFonts w:ascii="Times New Roman" w:hAnsi="Times New Roman"/>
          <w:highlight w:val="none"/>
        </w:rPr>
        <w:t xml:space="preserve">3  </w:t>
      </w:r>
      <w:r>
        <w:rPr>
          <w:rFonts w:hint="eastAsia" w:ascii="Times New Roman"/>
          <w:highlight w:val="none"/>
        </w:rPr>
        <w:t>技术监督及技术服务内容</w:t>
      </w:r>
    </w:p>
    <w:p w14:paraId="59504D69">
      <w:pPr>
        <w:spacing w:line="360" w:lineRule="auto"/>
        <w:rPr>
          <w:rFonts w:hint="eastAsia"/>
          <w:b/>
          <w:spacing w:val="10"/>
          <w:sz w:val="24"/>
          <w:highlight w:val="none"/>
        </w:rPr>
      </w:pPr>
      <w:r>
        <w:rPr>
          <w:rFonts w:hint="eastAsia"/>
          <w:b/>
          <w:spacing w:val="10"/>
          <w:sz w:val="24"/>
          <w:highlight w:val="none"/>
        </w:rPr>
        <w:t>3.1 技术服务的目标：</w:t>
      </w:r>
    </w:p>
    <w:p w14:paraId="50BF40DE">
      <w:pPr>
        <w:spacing w:line="360" w:lineRule="auto"/>
        <w:rPr>
          <w:bCs/>
          <w:sz w:val="24"/>
          <w:highlight w:val="none"/>
          <w:u w:val="single"/>
        </w:rPr>
      </w:pPr>
      <w:r>
        <w:rPr>
          <w:rFonts w:hint="eastAsia"/>
          <w:sz w:val="24"/>
          <w:highlight w:val="none"/>
          <w:u w:val="single"/>
        </w:rPr>
        <w:t>乙方通过对</w:t>
      </w:r>
      <w:r>
        <w:rPr>
          <w:rFonts w:hint="eastAsia"/>
          <w:b/>
          <w:bCs/>
          <w:sz w:val="24"/>
          <w:highlight w:val="none"/>
          <w:u w:val="single"/>
          <w:lang w:eastAsia="zh-CN"/>
        </w:rPr>
        <w:t>阳朔县深能环保有限公司</w:t>
      </w:r>
      <w:r>
        <w:rPr>
          <w:rFonts w:hint="eastAsia"/>
          <w:b/>
          <w:bCs/>
          <w:sz w:val="24"/>
          <w:highlight w:val="none"/>
          <w:u w:val="single"/>
          <w:lang w:val="en-US" w:eastAsia="zh-CN"/>
        </w:rPr>
        <w:t>2026</w:t>
      </w:r>
      <w:r>
        <w:rPr>
          <w:rFonts w:hint="eastAsia"/>
          <w:b/>
          <w:bCs/>
          <w:sz w:val="24"/>
          <w:highlight w:val="none"/>
          <w:u w:val="single"/>
        </w:rPr>
        <w:t>年度技术监督工作服务，</w:t>
      </w:r>
      <w:r>
        <w:rPr>
          <w:rFonts w:hint="eastAsia"/>
          <w:bCs/>
          <w:sz w:val="24"/>
          <w:highlight w:val="none"/>
          <w:u w:val="single"/>
        </w:rPr>
        <w:t>提供正式的技术监督报告。</w:t>
      </w:r>
    </w:p>
    <w:p w14:paraId="652BD58D">
      <w:pPr>
        <w:spacing w:line="360" w:lineRule="auto"/>
        <w:ind w:firstLine="0" w:firstLineChars="0"/>
        <w:rPr>
          <w:rFonts w:hint="eastAsia"/>
          <w:b/>
          <w:spacing w:val="10"/>
          <w:sz w:val="24"/>
          <w:highlight w:val="none"/>
        </w:rPr>
      </w:pPr>
      <w:r>
        <w:rPr>
          <w:rFonts w:hint="eastAsia"/>
          <w:b/>
          <w:bCs w:val="0"/>
          <w:spacing w:val="10"/>
          <w:sz w:val="24"/>
          <w:highlight w:val="none"/>
          <w:u w:val="none"/>
        </w:rPr>
        <w:t>3.2</w:t>
      </w:r>
      <w:r>
        <w:rPr>
          <w:rFonts w:hint="eastAsia"/>
          <w:b/>
          <w:spacing w:val="10"/>
          <w:sz w:val="24"/>
          <w:highlight w:val="none"/>
        </w:rPr>
        <w:t>技术监督服务范围</w:t>
      </w:r>
    </w:p>
    <w:p w14:paraId="03DA3824">
      <w:pPr>
        <w:spacing w:line="360" w:lineRule="auto"/>
        <w:ind w:firstLine="480" w:firstLineChars="200"/>
        <w:rPr>
          <w:highlight w:val="none"/>
        </w:rPr>
      </w:pPr>
      <w:r>
        <w:rPr>
          <w:rFonts w:hint="eastAsia"/>
          <w:sz w:val="24"/>
          <w:highlight w:val="none"/>
        </w:rPr>
        <w:t>在合同期间乙方对</w:t>
      </w:r>
      <w:r>
        <w:rPr>
          <w:rFonts w:hint="eastAsia"/>
          <w:sz w:val="24"/>
          <w:highlight w:val="none"/>
          <w:lang w:val="en-US" w:eastAsia="zh-CN"/>
        </w:rPr>
        <w:t>阳朔县深能</w:t>
      </w:r>
      <w:r>
        <w:rPr>
          <w:rFonts w:hint="eastAsia"/>
          <w:sz w:val="24"/>
          <w:highlight w:val="none"/>
        </w:rPr>
        <w:t>环保有限公司1*</w:t>
      </w:r>
      <w:r>
        <w:rPr>
          <w:rFonts w:hint="eastAsia"/>
          <w:sz w:val="24"/>
          <w:highlight w:val="none"/>
          <w:lang w:val="en-US" w:eastAsia="zh-CN"/>
        </w:rPr>
        <w:t>25</w:t>
      </w:r>
      <w:r>
        <w:rPr>
          <w:rFonts w:hint="eastAsia"/>
          <w:sz w:val="24"/>
          <w:highlight w:val="none"/>
        </w:rPr>
        <w:t>MW 机组的金属、化学、环保、绝缘、电测、热工、锅炉、汽机、节能、励磁、继保、自动化等14 专业进行技术监督管理。</w:t>
      </w:r>
    </w:p>
    <w:p w14:paraId="13FA0B3B">
      <w:pPr>
        <w:spacing w:line="360" w:lineRule="auto"/>
        <w:rPr>
          <w:b/>
          <w:spacing w:val="10"/>
          <w:sz w:val="24"/>
          <w:highlight w:val="none"/>
        </w:rPr>
      </w:pPr>
      <w:r>
        <w:rPr>
          <w:rFonts w:hint="eastAsia"/>
          <w:b/>
          <w:spacing w:val="10"/>
          <w:sz w:val="24"/>
          <w:highlight w:val="none"/>
        </w:rPr>
        <w:t>3.3 技术监督的内容</w:t>
      </w:r>
    </w:p>
    <w:p w14:paraId="587FA0AD">
      <w:pPr>
        <w:snapToGrid w:val="0"/>
        <w:spacing w:before="60" w:line="360" w:lineRule="auto"/>
        <w:ind w:firstLine="480" w:firstLineChars="200"/>
        <w:rPr>
          <w:sz w:val="24"/>
          <w:highlight w:val="none"/>
        </w:rPr>
      </w:pPr>
      <w:r>
        <w:rPr>
          <w:rFonts w:hint="eastAsia"/>
          <w:sz w:val="24"/>
          <w:highlight w:val="none"/>
        </w:rPr>
        <w:t>乙方的技术监督工作归口</w:t>
      </w:r>
      <w:r>
        <w:rPr>
          <w:rFonts w:hint="eastAsia"/>
          <w:bCs/>
          <w:spacing w:val="10"/>
          <w:sz w:val="24"/>
          <w:highlight w:val="yellow"/>
          <w:u w:val="single"/>
          <w:lang w:val="en-US" w:eastAsia="zh-CN"/>
        </w:rPr>
        <w:t>郭飞龙</w:t>
      </w:r>
      <w:r>
        <w:rPr>
          <w:rFonts w:hint="eastAsia"/>
          <w:sz w:val="24"/>
          <w:highlight w:val="none"/>
        </w:rPr>
        <w:t>负责，负责整个技术监督工作的的协调管理：</w:t>
      </w:r>
    </w:p>
    <w:p w14:paraId="7DB69CE1">
      <w:pPr>
        <w:snapToGrid w:val="0"/>
        <w:spacing w:before="60" w:line="360" w:lineRule="auto"/>
        <w:ind w:firstLine="480" w:firstLineChars="200"/>
        <w:rPr>
          <w:sz w:val="24"/>
          <w:highlight w:val="none"/>
        </w:rPr>
      </w:pPr>
      <w:r>
        <w:rPr>
          <w:sz w:val="24"/>
          <w:highlight w:val="none"/>
        </w:rPr>
        <w:t>3.</w:t>
      </w:r>
      <w:r>
        <w:rPr>
          <w:rFonts w:hint="eastAsia"/>
          <w:sz w:val="24"/>
          <w:highlight w:val="none"/>
        </w:rPr>
        <w:t>3.1</w:t>
      </w:r>
      <w:r>
        <w:rPr>
          <w:spacing w:val="10"/>
          <w:sz w:val="24"/>
          <w:highlight w:val="none"/>
        </w:rPr>
        <w:t>指导、协助甲方</w:t>
      </w:r>
      <w:r>
        <w:rPr>
          <w:spacing w:val="10"/>
          <w:kern w:val="0"/>
          <w:sz w:val="24"/>
          <w:highlight w:val="none"/>
        </w:rPr>
        <w:t>按照</w:t>
      </w:r>
      <w:r>
        <w:rPr>
          <w:rFonts w:hint="eastAsia"/>
          <w:spacing w:val="10"/>
          <w:kern w:val="0"/>
          <w:sz w:val="24"/>
          <w:highlight w:val="none"/>
        </w:rPr>
        <w:t>相关规定</w:t>
      </w:r>
      <w:r>
        <w:rPr>
          <w:spacing w:val="10"/>
          <w:kern w:val="0"/>
          <w:sz w:val="24"/>
          <w:highlight w:val="none"/>
        </w:rPr>
        <w:t>开展技术</w:t>
      </w:r>
      <w:r>
        <w:rPr>
          <w:rFonts w:hint="eastAsia"/>
          <w:spacing w:val="10"/>
          <w:kern w:val="0"/>
          <w:sz w:val="24"/>
          <w:highlight w:val="none"/>
        </w:rPr>
        <w:t>监控</w:t>
      </w:r>
      <w:r>
        <w:rPr>
          <w:spacing w:val="10"/>
          <w:kern w:val="0"/>
          <w:sz w:val="24"/>
          <w:highlight w:val="none"/>
        </w:rPr>
        <w:t>工作</w:t>
      </w:r>
      <w:r>
        <w:rPr>
          <w:spacing w:val="10"/>
          <w:sz w:val="24"/>
          <w:highlight w:val="none"/>
        </w:rPr>
        <w:t>；</w:t>
      </w:r>
    </w:p>
    <w:p w14:paraId="7883F862">
      <w:pPr>
        <w:snapToGrid w:val="0"/>
        <w:spacing w:before="60" w:line="360" w:lineRule="auto"/>
        <w:ind w:firstLine="480" w:firstLineChars="200"/>
        <w:rPr>
          <w:sz w:val="24"/>
          <w:highlight w:val="none"/>
        </w:rPr>
      </w:pPr>
      <w:r>
        <w:rPr>
          <w:sz w:val="24"/>
          <w:highlight w:val="none"/>
        </w:rPr>
        <w:t>3.</w:t>
      </w:r>
      <w:r>
        <w:rPr>
          <w:rFonts w:hint="eastAsia"/>
          <w:sz w:val="24"/>
          <w:highlight w:val="none"/>
        </w:rPr>
        <w:t>3.2根据政府主管部门、行业主管部门以及电网公司的重点工作安排，不定期开展专项技术监督检查，对存在的问题进行研究并提出对策。</w:t>
      </w:r>
    </w:p>
    <w:p w14:paraId="7A8BA958">
      <w:pPr>
        <w:snapToGrid w:val="0"/>
        <w:spacing w:before="60" w:line="360" w:lineRule="auto"/>
        <w:ind w:firstLine="480" w:firstLineChars="200"/>
        <w:rPr>
          <w:sz w:val="24"/>
          <w:highlight w:val="none"/>
        </w:rPr>
      </w:pPr>
      <w:r>
        <w:rPr>
          <w:sz w:val="24"/>
          <w:highlight w:val="none"/>
        </w:rPr>
        <w:t>3.</w:t>
      </w:r>
      <w:r>
        <w:rPr>
          <w:rFonts w:hint="eastAsia"/>
          <w:sz w:val="24"/>
          <w:highlight w:val="none"/>
        </w:rPr>
        <w:t>3.3</w:t>
      </w:r>
      <w:r>
        <w:rPr>
          <w:spacing w:val="10"/>
          <w:sz w:val="24"/>
          <w:highlight w:val="none"/>
        </w:rPr>
        <w:t>与甲方共同制定技术</w:t>
      </w:r>
      <w:r>
        <w:rPr>
          <w:rFonts w:hint="eastAsia"/>
          <w:spacing w:val="10"/>
          <w:sz w:val="24"/>
          <w:highlight w:val="none"/>
        </w:rPr>
        <w:t>服务</w:t>
      </w:r>
      <w:r>
        <w:rPr>
          <w:spacing w:val="10"/>
          <w:sz w:val="24"/>
          <w:highlight w:val="none"/>
        </w:rPr>
        <w:t>工作规划与计划</w:t>
      </w:r>
      <w:r>
        <w:rPr>
          <w:rFonts w:hint="eastAsia"/>
          <w:spacing w:val="10"/>
          <w:sz w:val="24"/>
          <w:highlight w:val="none"/>
        </w:rPr>
        <w:t>，</w:t>
      </w:r>
      <w:r>
        <w:rPr>
          <w:rFonts w:hint="eastAsia"/>
          <w:sz w:val="24"/>
          <w:highlight w:val="none"/>
        </w:rPr>
        <w:t>定期（每年</w:t>
      </w:r>
      <w:r>
        <w:rPr>
          <w:sz w:val="24"/>
          <w:highlight w:val="none"/>
        </w:rPr>
        <w:t xml:space="preserve">1 </w:t>
      </w:r>
      <w:r>
        <w:rPr>
          <w:rFonts w:hint="eastAsia"/>
          <w:sz w:val="24"/>
          <w:highlight w:val="none"/>
        </w:rPr>
        <w:t>次）组织有关专家到甲方按相关规定进行技术监督工作检查和考核工作，提交检查评价报告给甲方；</w:t>
      </w:r>
    </w:p>
    <w:p w14:paraId="2770C8F8">
      <w:pPr>
        <w:snapToGrid w:val="0"/>
        <w:spacing w:before="60" w:line="360" w:lineRule="auto"/>
        <w:ind w:firstLine="480" w:firstLineChars="200"/>
        <w:rPr>
          <w:sz w:val="24"/>
          <w:highlight w:val="none"/>
        </w:rPr>
      </w:pPr>
      <w:r>
        <w:rPr>
          <w:sz w:val="24"/>
          <w:highlight w:val="none"/>
        </w:rPr>
        <w:t>3.</w:t>
      </w:r>
      <w:r>
        <w:rPr>
          <w:rFonts w:hint="eastAsia"/>
          <w:sz w:val="24"/>
          <w:highlight w:val="none"/>
        </w:rPr>
        <w:t>3.4</w:t>
      </w:r>
      <w:r>
        <w:rPr>
          <w:spacing w:val="10"/>
          <w:sz w:val="24"/>
          <w:highlight w:val="none"/>
        </w:rPr>
        <w:t>各专业建立甲方需要认证的专业人员档案，按有关规定对甲方的上述人员进行培训，组织上述人员进行取证</w:t>
      </w:r>
      <w:r>
        <w:rPr>
          <w:rFonts w:hint="eastAsia"/>
          <w:spacing w:val="10"/>
          <w:sz w:val="24"/>
          <w:highlight w:val="none"/>
        </w:rPr>
        <w:t>，并组织对相关证件按规定进行审检。乙方开展的取证范围为：电厂化学水处理、电厂化学水分析、油分析、六氟化硫分析、色谱分析</w:t>
      </w:r>
      <w:r>
        <w:rPr>
          <w:rFonts w:hint="eastAsia"/>
          <w:sz w:val="24"/>
          <w:highlight w:val="none"/>
        </w:rPr>
        <w:t>；</w:t>
      </w:r>
    </w:p>
    <w:p w14:paraId="70629314">
      <w:pPr>
        <w:snapToGrid w:val="0"/>
        <w:spacing w:before="60" w:line="360" w:lineRule="auto"/>
        <w:ind w:firstLine="480" w:firstLineChars="200"/>
        <w:rPr>
          <w:sz w:val="24"/>
          <w:highlight w:val="none"/>
        </w:rPr>
      </w:pPr>
      <w:r>
        <w:rPr>
          <w:sz w:val="24"/>
          <w:highlight w:val="none"/>
        </w:rPr>
        <w:t>3.</w:t>
      </w:r>
      <w:r>
        <w:rPr>
          <w:rFonts w:hint="eastAsia"/>
          <w:sz w:val="24"/>
          <w:highlight w:val="none"/>
        </w:rPr>
        <w:t>3.5审查甲方制定机组技术监督年度工作计划、重大技术措施、技术改造方案，提出意见或建议，协助甲方上级部门对机组的技术监督工作进行检查、指导和考核；</w:t>
      </w:r>
    </w:p>
    <w:p w14:paraId="4A7A5603">
      <w:pPr>
        <w:snapToGrid w:val="0"/>
        <w:spacing w:before="60" w:line="360" w:lineRule="auto"/>
        <w:ind w:firstLine="480" w:firstLineChars="200"/>
        <w:rPr>
          <w:sz w:val="24"/>
          <w:highlight w:val="none"/>
        </w:rPr>
      </w:pPr>
      <w:r>
        <w:rPr>
          <w:sz w:val="24"/>
          <w:highlight w:val="none"/>
        </w:rPr>
        <w:t>3.</w:t>
      </w:r>
      <w:r>
        <w:rPr>
          <w:rFonts w:hint="eastAsia"/>
          <w:sz w:val="24"/>
          <w:highlight w:val="none"/>
        </w:rPr>
        <w:t>3.6每年向甲方提供乙方上年度技术监督工作总结，并对下一年度的重点工作提出建议；</w:t>
      </w:r>
    </w:p>
    <w:p w14:paraId="35375E4D">
      <w:pPr>
        <w:snapToGrid w:val="0"/>
        <w:spacing w:before="60" w:line="360" w:lineRule="auto"/>
        <w:ind w:firstLine="480" w:firstLineChars="200"/>
        <w:rPr>
          <w:sz w:val="24"/>
          <w:highlight w:val="none"/>
        </w:rPr>
      </w:pPr>
      <w:r>
        <w:rPr>
          <w:sz w:val="24"/>
          <w:highlight w:val="none"/>
        </w:rPr>
        <w:t>3.</w:t>
      </w:r>
      <w:r>
        <w:rPr>
          <w:rFonts w:hint="eastAsia"/>
          <w:sz w:val="24"/>
          <w:highlight w:val="none"/>
        </w:rPr>
        <w:t>3.7组织召开各专业技术监督年度工作会议，总结、交流和推广技术监督的工作经验和先进技术；</w:t>
      </w:r>
    </w:p>
    <w:p w14:paraId="6F39B68C">
      <w:pPr>
        <w:snapToGrid w:val="0"/>
        <w:spacing w:before="60" w:line="360" w:lineRule="auto"/>
        <w:ind w:firstLine="480" w:firstLineChars="200"/>
        <w:rPr>
          <w:sz w:val="24"/>
          <w:highlight w:val="none"/>
        </w:rPr>
      </w:pPr>
      <w:r>
        <w:rPr>
          <w:sz w:val="24"/>
          <w:highlight w:val="none"/>
        </w:rPr>
        <w:t>3.</w:t>
      </w:r>
      <w:r>
        <w:rPr>
          <w:rFonts w:hint="eastAsia"/>
          <w:sz w:val="24"/>
          <w:highlight w:val="none"/>
        </w:rPr>
        <w:t>3.8甲方机组发电设备发生事故或运行中出现重大异常等情况，乙方在接到电厂的要求后，及时派有关技术人员赶赴现场（</w:t>
      </w:r>
      <w:r>
        <w:rPr>
          <w:rFonts w:hint="eastAsia"/>
          <w:spacing w:val="10"/>
          <w:sz w:val="24"/>
          <w:highlight w:val="none"/>
        </w:rPr>
        <w:t>每年不超过3次现场事故调查分析指导</w:t>
      </w:r>
      <w:r>
        <w:rPr>
          <w:rFonts w:hint="eastAsia"/>
          <w:sz w:val="24"/>
          <w:highlight w:val="none"/>
        </w:rPr>
        <w:t>），协助进行事故或异常调查分析，并提出处理意见，制定相应的反事故措施；对甲方制定的反事故措施提出完善建议；</w:t>
      </w:r>
    </w:p>
    <w:p w14:paraId="5E43A8EE">
      <w:pPr>
        <w:snapToGrid w:val="0"/>
        <w:spacing w:before="60" w:line="360" w:lineRule="auto"/>
        <w:ind w:firstLine="520" w:firstLineChars="200"/>
        <w:rPr>
          <w:sz w:val="24"/>
          <w:highlight w:val="none"/>
        </w:rPr>
      </w:pPr>
      <w:r>
        <w:rPr>
          <w:rFonts w:hint="eastAsia"/>
          <w:spacing w:val="10"/>
          <w:sz w:val="24"/>
          <w:highlight w:val="none"/>
        </w:rPr>
        <w:t>3.3.9</w:t>
      </w:r>
      <w:r>
        <w:rPr>
          <w:spacing w:val="10"/>
          <w:sz w:val="24"/>
          <w:highlight w:val="none"/>
        </w:rPr>
        <w:t>在甲方机组大</w:t>
      </w:r>
      <w:r>
        <w:rPr>
          <w:rFonts w:hint="eastAsia"/>
          <w:spacing w:val="10"/>
          <w:sz w:val="24"/>
          <w:highlight w:val="none"/>
        </w:rPr>
        <w:t>、小</w:t>
      </w:r>
      <w:r>
        <w:rPr>
          <w:spacing w:val="10"/>
          <w:sz w:val="24"/>
          <w:highlight w:val="none"/>
        </w:rPr>
        <w:t>修时，根据需要派金属、化学、环保、绝缘、电测、热工、</w:t>
      </w:r>
      <w:r>
        <w:rPr>
          <w:rFonts w:hint="eastAsia"/>
          <w:spacing w:val="10"/>
          <w:sz w:val="24"/>
          <w:highlight w:val="none"/>
        </w:rPr>
        <w:t>汽轮机、</w:t>
      </w:r>
      <w:r>
        <w:rPr>
          <w:spacing w:val="10"/>
          <w:sz w:val="24"/>
          <w:highlight w:val="none"/>
        </w:rPr>
        <w:t>压力容器及承压部件、励磁、系统等专业的技术人员开展技术</w:t>
      </w:r>
      <w:r>
        <w:rPr>
          <w:rFonts w:hint="eastAsia"/>
          <w:spacing w:val="10"/>
          <w:sz w:val="24"/>
          <w:highlight w:val="none"/>
        </w:rPr>
        <w:t>咨询</w:t>
      </w:r>
      <w:r>
        <w:rPr>
          <w:spacing w:val="10"/>
          <w:sz w:val="24"/>
          <w:highlight w:val="none"/>
        </w:rPr>
        <w:t>工作。</w:t>
      </w:r>
    </w:p>
    <w:p w14:paraId="61A40359">
      <w:pPr>
        <w:snapToGrid w:val="0"/>
        <w:spacing w:before="60" w:line="360" w:lineRule="auto"/>
        <w:ind w:firstLine="480" w:firstLineChars="200"/>
        <w:rPr>
          <w:sz w:val="24"/>
          <w:highlight w:val="none"/>
        </w:rPr>
      </w:pPr>
      <w:r>
        <w:rPr>
          <w:sz w:val="24"/>
          <w:highlight w:val="none"/>
        </w:rPr>
        <w:t>3.</w:t>
      </w:r>
      <w:r>
        <w:rPr>
          <w:rFonts w:hint="eastAsia"/>
          <w:sz w:val="24"/>
          <w:highlight w:val="none"/>
        </w:rPr>
        <w:t>3.10向甲方提供技术监督文件、资料以及按上级的有关技术标准、规程、规定和反事故措施，组织有关专业人员参加培训班、专业会议；</w:t>
      </w:r>
    </w:p>
    <w:p w14:paraId="4B554139">
      <w:pPr>
        <w:snapToGrid w:val="0"/>
        <w:spacing w:before="60" w:line="360" w:lineRule="auto"/>
        <w:ind w:firstLine="480" w:firstLineChars="200"/>
        <w:rPr>
          <w:sz w:val="24"/>
          <w:highlight w:val="none"/>
        </w:rPr>
      </w:pPr>
      <w:r>
        <w:rPr>
          <w:sz w:val="24"/>
          <w:highlight w:val="none"/>
        </w:rPr>
        <w:t>3.</w:t>
      </w:r>
      <w:r>
        <w:rPr>
          <w:rFonts w:hint="eastAsia"/>
          <w:sz w:val="24"/>
          <w:highlight w:val="none"/>
        </w:rPr>
        <w:t>3.11定期编辑出版和发行《广西电力技术监督月报》和《全国电力安全生产技术信息》等刊物，传递和交流电力科技成果、新技术、新产品、新工艺、新设计等信息。对电力行业标准、规程、规定和颁布、更改与替代情况，及时通知甲方；</w:t>
      </w:r>
    </w:p>
    <w:p w14:paraId="4BFD1868">
      <w:pPr>
        <w:snapToGrid w:val="0"/>
        <w:spacing w:before="60" w:line="360" w:lineRule="auto"/>
        <w:ind w:firstLine="480" w:firstLineChars="200"/>
        <w:rPr>
          <w:sz w:val="24"/>
          <w:highlight w:val="none"/>
        </w:rPr>
      </w:pPr>
      <w:r>
        <w:rPr>
          <w:sz w:val="24"/>
          <w:highlight w:val="none"/>
        </w:rPr>
        <w:t>3.</w:t>
      </w:r>
      <w:r>
        <w:rPr>
          <w:rFonts w:hint="eastAsia"/>
          <w:sz w:val="24"/>
          <w:highlight w:val="none"/>
        </w:rPr>
        <w:t>3.12协助甲方针对机组搞好各专业技术人员的技能培训及岗位考核工作；</w:t>
      </w:r>
    </w:p>
    <w:p w14:paraId="3E7EB98B">
      <w:pPr>
        <w:snapToGrid w:val="0"/>
        <w:spacing w:before="60" w:line="360" w:lineRule="auto"/>
        <w:ind w:firstLine="480" w:firstLineChars="200"/>
        <w:rPr>
          <w:sz w:val="24"/>
          <w:highlight w:val="none"/>
        </w:rPr>
      </w:pPr>
      <w:r>
        <w:rPr>
          <w:sz w:val="24"/>
          <w:highlight w:val="none"/>
        </w:rPr>
        <w:t>3.</w:t>
      </w:r>
      <w:r>
        <w:rPr>
          <w:rFonts w:hint="eastAsia"/>
          <w:sz w:val="24"/>
          <w:highlight w:val="none"/>
        </w:rPr>
        <w:t>3.13不断完善和更新测试手段，研究、开发和推广新技术，为甲方更好地搞好技术监督工作提供支持；</w:t>
      </w:r>
    </w:p>
    <w:p w14:paraId="6DCCD370">
      <w:pPr>
        <w:spacing w:line="360" w:lineRule="auto"/>
        <w:ind w:firstLine="520" w:firstLineChars="200"/>
        <w:rPr>
          <w:spacing w:val="10"/>
          <w:sz w:val="24"/>
          <w:highlight w:val="none"/>
        </w:rPr>
      </w:pPr>
      <w:r>
        <w:rPr>
          <w:spacing w:val="10"/>
          <w:sz w:val="24"/>
          <w:highlight w:val="none"/>
        </w:rPr>
        <w:t>3.</w:t>
      </w:r>
      <w:r>
        <w:rPr>
          <w:rFonts w:hint="eastAsia"/>
          <w:spacing w:val="10"/>
          <w:sz w:val="24"/>
          <w:highlight w:val="none"/>
        </w:rPr>
        <w:t>3</w:t>
      </w:r>
      <w:r>
        <w:rPr>
          <w:spacing w:val="10"/>
          <w:sz w:val="24"/>
          <w:highlight w:val="none"/>
        </w:rPr>
        <w:t>.1</w:t>
      </w:r>
      <w:r>
        <w:rPr>
          <w:rFonts w:hint="eastAsia"/>
          <w:spacing w:val="10"/>
          <w:sz w:val="24"/>
          <w:highlight w:val="none"/>
        </w:rPr>
        <w:t xml:space="preserve">4 </w:t>
      </w:r>
      <w:r>
        <w:rPr>
          <w:spacing w:val="10"/>
          <w:sz w:val="24"/>
          <w:highlight w:val="none"/>
        </w:rPr>
        <w:t>按</w:t>
      </w:r>
      <w:r>
        <w:rPr>
          <w:rFonts w:hint="eastAsia"/>
          <w:spacing w:val="10"/>
          <w:sz w:val="24"/>
          <w:highlight w:val="none"/>
        </w:rPr>
        <w:t>相关规定，</w:t>
      </w:r>
      <w:r>
        <w:rPr>
          <w:spacing w:val="10"/>
          <w:sz w:val="24"/>
          <w:highlight w:val="none"/>
        </w:rPr>
        <w:t>对发现甲方存在的重大问题进行预警</w:t>
      </w:r>
      <w:r>
        <w:rPr>
          <w:rFonts w:hint="eastAsia"/>
          <w:spacing w:val="10"/>
          <w:sz w:val="24"/>
          <w:highlight w:val="none"/>
        </w:rPr>
        <w:t>。</w:t>
      </w:r>
    </w:p>
    <w:p w14:paraId="709F58E0">
      <w:pPr>
        <w:snapToGrid w:val="0"/>
        <w:spacing w:before="60" w:line="360" w:lineRule="auto"/>
        <w:ind w:firstLine="480" w:firstLineChars="200"/>
        <w:rPr>
          <w:sz w:val="24"/>
          <w:highlight w:val="none"/>
        </w:rPr>
      </w:pPr>
    </w:p>
    <w:p w14:paraId="16001B90">
      <w:pPr>
        <w:snapToGrid w:val="0"/>
        <w:spacing w:before="60" w:line="360" w:lineRule="auto"/>
        <w:rPr>
          <w:sz w:val="24"/>
          <w:highlight w:val="none"/>
        </w:rPr>
      </w:pPr>
      <w:r>
        <w:rPr>
          <w:rFonts w:hint="eastAsia"/>
          <w:sz w:val="24"/>
          <w:highlight w:val="none"/>
        </w:rPr>
        <w:t>3.4、技术监</w:t>
      </w:r>
      <w:r>
        <w:rPr>
          <w:sz w:val="24"/>
          <w:highlight w:val="none"/>
        </w:rPr>
        <w:t>督</w:t>
      </w:r>
      <w:r>
        <w:rPr>
          <w:rFonts w:hint="eastAsia"/>
          <w:sz w:val="24"/>
          <w:highlight w:val="none"/>
        </w:rPr>
        <w:t>工</w:t>
      </w:r>
      <w:r>
        <w:rPr>
          <w:sz w:val="24"/>
          <w:highlight w:val="none"/>
        </w:rPr>
        <w:t>作的</w:t>
      </w:r>
      <w:r>
        <w:rPr>
          <w:rFonts w:hint="eastAsia"/>
          <w:sz w:val="24"/>
          <w:highlight w:val="none"/>
        </w:rPr>
        <w:t>方式</w:t>
      </w:r>
      <w:r>
        <w:rPr>
          <w:sz w:val="24"/>
          <w:highlight w:val="none"/>
        </w:rPr>
        <w:t>及要求:</w:t>
      </w:r>
    </w:p>
    <w:p w14:paraId="5702D73D">
      <w:pPr>
        <w:snapToGrid w:val="0"/>
        <w:spacing w:before="60" w:line="360" w:lineRule="auto"/>
        <w:ind w:firstLine="600" w:firstLineChars="250"/>
        <w:rPr>
          <w:sz w:val="24"/>
          <w:highlight w:val="none"/>
        </w:rPr>
      </w:pPr>
      <w:r>
        <w:rPr>
          <w:rFonts w:hint="eastAsia"/>
          <w:sz w:val="24"/>
          <w:highlight w:val="none"/>
        </w:rPr>
        <w:t>根据国家和行业各项电力技术监督的技术标准、规定、导则及电厂编制的技术监督管理办法、标准，对电厂在役运行机组及其他设备设施实施全过程、全方位的技术监督服务，主要包括进行技术监督现场服务，参加电厂重大技术措施、技术改造方案的审查与技术指导，以及科技创新指导，提供技术资料，开展技术交流，提供专业取证培训信息，推动新技术推广应用等工作。各专业的具体服务内容见附表一。</w:t>
      </w:r>
    </w:p>
    <w:p w14:paraId="53B7889C">
      <w:pPr>
        <w:snapToGrid w:val="0"/>
        <w:spacing w:before="60" w:line="360" w:lineRule="auto"/>
        <w:ind w:firstLine="480" w:firstLineChars="200"/>
        <w:rPr>
          <w:rFonts w:ascii="宋体" w:cs="宋体"/>
          <w:kern w:val="0"/>
          <w:sz w:val="24"/>
          <w:highlight w:val="none"/>
        </w:rPr>
      </w:pPr>
      <w:r>
        <w:rPr>
          <w:rFonts w:hint="eastAsia"/>
          <w:sz w:val="24"/>
          <w:highlight w:val="none"/>
        </w:rPr>
        <w:t>本技术监督服务同时包含协助电厂推进科技创新及科技成果应用工作，协助电厂各专业开展科技创新（含实用型专利）及科技成果评审，对电厂编写科技创新（含实用型专利）及科技成果申报材料给予技术指导，指导电厂开展实用型专利申报工作。</w:t>
      </w:r>
    </w:p>
    <w:p w14:paraId="4595B42F">
      <w:pPr>
        <w:spacing w:line="360" w:lineRule="auto"/>
        <w:rPr>
          <w:spacing w:val="10"/>
          <w:sz w:val="24"/>
          <w:highlight w:val="none"/>
        </w:rPr>
      </w:pPr>
      <w:r>
        <w:rPr>
          <w:b/>
          <w:spacing w:val="10"/>
          <w:sz w:val="24"/>
          <w:highlight w:val="none"/>
        </w:rPr>
        <w:tab/>
      </w:r>
      <w:r>
        <w:rPr>
          <w:spacing w:val="10"/>
          <w:sz w:val="24"/>
          <w:highlight w:val="none"/>
        </w:rPr>
        <w:t>甲方发电设备发生</w:t>
      </w:r>
      <w:r>
        <w:rPr>
          <w:rFonts w:hint="eastAsia"/>
          <w:spacing w:val="10"/>
          <w:sz w:val="24"/>
          <w:highlight w:val="none"/>
        </w:rPr>
        <w:t>重大</w:t>
      </w:r>
      <w:r>
        <w:rPr>
          <w:spacing w:val="10"/>
          <w:sz w:val="24"/>
          <w:highlight w:val="none"/>
        </w:rPr>
        <w:t>事故或运行中出现异常等情况</w:t>
      </w:r>
      <w:r>
        <w:rPr>
          <w:rFonts w:hint="eastAsia"/>
          <w:spacing w:val="10"/>
          <w:sz w:val="24"/>
          <w:highlight w:val="none"/>
        </w:rPr>
        <w:t>需要乙方提供现场服务的</w:t>
      </w:r>
      <w:r>
        <w:rPr>
          <w:spacing w:val="10"/>
          <w:sz w:val="24"/>
          <w:highlight w:val="none"/>
        </w:rPr>
        <w:t>，</w:t>
      </w:r>
      <w:r>
        <w:rPr>
          <w:rFonts w:hint="eastAsia"/>
          <w:spacing w:val="10"/>
          <w:sz w:val="24"/>
          <w:highlight w:val="none"/>
        </w:rPr>
        <w:t>乙方应按以下要求提供服务：</w:t>
      </w:r>
    </w:p>
    <w:p w14:paraId="1ED645EA">
      <w:pPr>
        <w:spacing w:line="360" w:lineRule="auto"/>
        <w:ind w:firstLine="390" w:firstLineChars="150"/>
        <w:rPr>
          <w:spacing w:val="10"/>
          <w:sz w:val="24"/>
          <w:highlight w:val="none"/>
        </w:rPr>
      </w:pPr>
      <w:r>
        <w:rPr>
          <w:rFonts w:hint="eastAsia"/>
          <w:spacing w:val="10"/>
          <w:sz w:val="24"/>
          <w:highlight w:val="none"/>
        </w:rPr>
        <w:t>3.4.1</w:t>
      </w:r>
      <w:r>
        <w:rPr>
          <w:spacing w:val="10"/>
          <w:sz w:val="24"/>
          <w:highlight w:val="none"/>
        </w:rPr>
        <w:t>在</w:t>
      </w:r>
      <w:r>
        <w:rPr>
          <w:rFonts w:hint="eastAsia"/>
          <w:spacing w:val="10"/>
          <w:sz w:val="24"/>
          <w:highlight w:val="none"/>
        </w:rPr>
        <w:t>工作日工作时间，乙方应在接到</w:t>
      </w:r>
      <w:r>
        <w:rPr>
          <w:spacing w:val="10"/>
          <w:sz w:val="24"/>
          <w:highlight w:val="none"/>
        </w:rPr>
        <w:t>甲方</w:t>
      </w:r>
      <w:r>
        <w:rPr>
          <w:rFonts w:hint="eastAsia"/>
          <w:spacing w:val="10"/>
          <w:sz w:val="24"/>
          <w:highlight w:val="none"/>
        </w:rPr>
        <w:t>请求现场服务</w:t>
      </w:r>
      <w:r>
        <w:rPr>
          <w:spacing w:val="10"/>
          <w:sz w:val="24"/>
          <w:highlight w:val="none"/>
        </w:rPr>
        <w:t>通知后</w:t>
      </w:r>
      <w:r>
        <w:rPr>
          <w:rFonts w:hint="eastAsia"/>
          <w:spacing w:val="10"/>
          <w:sz w:val="24"/>
          <w:highlight w:val="none"/>
        </w:rPr>
        <w:t>8</w:t>
      </w:r>
      <w:r>
        <w:rPr>
          <w:spacing w:val="10"/>
          <w:sz w:val="24"/>
          <w:highlight w:val="none"/>
        </w:rPr>
        <w:t>小时内应赶到现场服务</w:t>
      </w:r>
      <w:r>
        <w:rPr>
          <w:rFonts w:hint="eastAsia"/>
          <w:spacing w:val="10"/>
          <w:sz w:val="24"/>
          <w:highlight w:val="none"/>
        </w:rPr>
        <w:t>。</w:t>
      </w:r>
    </w:p>
    <w:p w14:paraId="6B99AB01">
      <w:pPr>
        <w:spacing w:line="360" w:lineRule="auto"/>
        <w:ind w:left="340"/>
        <w:rPr>
          <w:spacing w:val="10"/>
          <w:sz w:val="24"/>
          <w:highlight w:val="none"/>
        </w:rPr>
      </w:pPr>
      <w:r>
        <w:rPr>
          <w:rFonts w:hint="eastAsia"/>
          <w:spacing w:val="10"/>
          <w:sz w:val="24"/>
          <w:highlight w:val="none"/>
        </w:rPr>
        <w:t>3.4.2</w:t>
      </w:r>
      <w:r>
        <w:rPr>
          <w:spacing w:val="10"/>
          <w:sz w:val="24"/>
          <w:highlight w:val="none"/>
        </w:rPr>
        <w:t>在</w:t>
      </w:r>
      <w:r>
        <w:rPr>
          <w:rFonts w:hint="eastAsia"/>
          <w:spacing w:val="10"/>
          <w:sz w:val="24"/>
          <w:highlight w:val="none"/>
        </w:rPr>
        <w:t>工作日非工作时间，乙方应在接到</w:t>
      </w:r>
      <w:r>
        <w:rPr>
          <w:spacing w:val="10"/>
          <w:sz w:val="24"/>
          <w:highlight w:val="none"/>
        </w:rPr>
        <w:t>甲方</w:t>
      </w:r>
      <w:r>
        <w:rPr>
          <w:rFonts w:hint="eastAsia"/>
          <w:spacing w:val="10"/>
          <w:sz w:val="24"/>
          <w:highlight w:val="none"/>
        </w:rPr>
        <w:t>请求现场服务</w:t>
      </w:r>
      <w:r>
        <w:rPr>
          <w:spacing w:val="10"/>
          <w:sz w:val="24"/>
          <w:highlight w:val="none"/>
        </w:rPr>
        <w:t>通知后</w:t>
      </w:r>
      <w:r>
        <w:rPr>
          <w:rFonts w:hint="eastAsia"/>
          <w:spacing w:val="10"/>
          <w:sz w:val="24"/>
          <w:highlight w:val="none"/>
        </w:rPr>
        <w:t>10</w:t>
      </w:r>
      <w:r>
        <w:rPr>
          <w:spacing w:val="10"/>
          <w:sz w:val="24"/>
          <w:highlight w:val="none"/>
        </w:rPr>
        <w:t>小时内应赶到现场服务</w:t>
      </w:r>
      <w:r>
        <w:rPr>
          <w:rFonts w:hint="eastAsia"/>
          <w:spacing w:val="10"/>
          <w:sz w:val="24"/>
          <w:highlight w:val="none"/>
        </w:rPr>
        <w:t>。</w:t>
      </w:r>
    </w:p>
    <w:p w14:paraId="5B74ABD0">
      <w:pPr>
        <w:spacing w:line="360" w:lineRule="auto"/>
        <w:ind w:firstLine="390" w:firstLineChars="150"/>
        <w:rPr>
          <w:spacing w:val="10"/>
          <w:sz w:val="24"/>
          <w:highlight w:val="none"/>
        </w:rPr>
      </w:pPr>
      <w:r>
        <w:rPr>
          <w:rFonts w:hint="eastAsia"/>
          <w:spacing w:val="10"/>
          <w:sz w:val="24"/>
          <w:highlight w:val="none"/>
        </w:rPr>
        <w:t>3.4.3</w:t>
      </w:r>
      <w:r>
        <w:rPr>
          <w:spacing w:val="10"/>
          <w:sz w:val="24"/>
          <w:highlight w:val="none"/>
        </w:rPr>
        <w:t>在</w:t>
      </w:r>
      <w:r>
        <w:rPr>
          <w:rFonts w:hint="eastAsia"/>
          <w:spacing w:val="10"/>
          <w:sz w:val="24"/>
          <w:highlight w:val="none"/>
        </w:rPr>
        <w:t>非工作日，乙方应在接到</w:t>
      </w:r>
      <w:r>
        <w:rPr>
          <w:spacing w:val="10"/>
          <w:sz w:val="24"/>
          <w:highlight w:val="none"/>
        </w:rPr>
        <w:t>甲方</w:t>
      </w:r>
      <w:r>
        <w:rPr>
          <w:rFonts w:hint="eastAsia"/>
          <w:spacing w:val="10"/>
          <w:sz w:val="24"/>
          <w:highlight w:val="none"/>
        </w:rPr>
        <w:t>请求现场服务</w:t>
      </w:r>
      <w:r>
        <w:rPr>
          <w:spacing w:val="10"/>
          <w:sz w:val="24"/>
          <w:highlight w:val="none"/>
        </w:rPr>
        <w:t>通知后</w:t>
      </w:r>
      <w:r>
        <w:rPr>
          <w:rFonts w:hint="eastAsia"/>
          <w:spacing w:val="10"/>
          <w:sz w:val="24"/>
          <w:highlight w:val="none"/>
        </w:rPr>
        <w:t>12</w:t>
      </w:r>
      <w:r>
        <w:rPr>
          <w:spacing w:val="10"/>
          <w:sz w:val="24"/>
          <w:highlight w:val="none"/>
        </w:rPr>
        <w:t>小时内应赶到现场服务</w:t>
      </w:r>
      <w:r>
        <w:rPr>
          <w:rFonts w:hint="eastAsia"/>
          <w:spacing w:val="10"/>
          <w:sz w:val="24"/>
          <w:highlight w:val="none"/>
        </w:rPr>
        <w:t>。</w:t>
      </w:r>
    </w:p>
    <w:p w14:paraId="04CF8C3C">
      <w:pPr>
        <w:spacing w:line="360" w:lineRule="auto"/>
        <w:ind w:firstLine="390" w:firstLineChars="150"/>
        <w:rPr>
          <w:spacing w:val="10"/>
          <w:sz w:val="24"/>
          <w:highlight w:val="none"/>
        </w:rPr>
      </w:pPr>
      <w:r>
        <w:rPr>
          <w:rFonts w:hint="eastAsia"/>
          <w:spacing w:val="10"/>
          <w:sz w:val="24"/>
          <w:highlight w:val="none"/>
        </w:rPr>
        <w:t>3.4.4如果乙方不能按甲方通知要求的时间到达现场，甲方有权委托其他有资质的单位进行现场技术服务，由此产生的现场技术服务费用从本合同款中扣除。</w:t>
      </w:r>
    </w:p>
    <w:p w14:paraId="76F016DF">
      <w:pPr>
        <w:spacing w:line="360" w:lineRule="auto"/>
        <w:ind w:firstLine="390" w:firstLineChars="150"/>
        <w:rPr>
          <w:spacing w:val="10"/>
          <w:sz w:val="24"/>
          <w:highlight w:val="none"/>
        </w:rPr>
      </w:pPr>
      <w:r>
        <w:rPr>
          <w:rFonts w:hint="eastAsia"/>
          <w:spacing w:val="10"/>
          <w:sz w:val="24"/>
          <w:highlight w:val="none"/>
        </w:rPr>
        <w:t>3.4.5现场服务人员到达现场后应及时</w:t>
      </w:r>
      <w:r>
        <w:rPr>
          <w:spacing w:val="10"/>
          <w:sz w:val="24"/>
          <w:highlight w:val="none"/>
        </w:rPr>
        <w:t>协助进行事故或异常调查分析，并提出处理意见和反事故措施，如遇</w:t>
      </w:r>
      <w:r>
        <w:rPr>
          <w:rFonts w:hint="eastAsia"/>
          <w:spacing w:val="10"/>
          <w:sz w:val="24"/>
          <w:highlight w:val="none"/>
        </w:rPr>
        <w:t>到</w:t>
      </w:r>
      <w:r>
        <w:rPr>
          <w:spacing w:val="10"/>
          <w:sz w:val="24"/>
          <w:highlight w:val="none"/>
        </w:rPr>
        <w:t>复杂的生产、试验技术问题，乙方应派有经验的专家协助解决。</w:t>
      </w:r>
    </w:p>
    <w:p w14:paraId="25536D42">
      <w:pPr>
        <w:spacing w:line="360" w:lineRule="auto"/>
        <w:rPr>
          <w:rFonts w:hint="default"/>
          <w:sz w:val="24"/>
          <w:highlight w:val="none"/>
          <w:lang w:val="en-US"/>
        </w:rPr>
      </w:pPr>
      <w:r>
        <w:rPr>
          <w:rFonts w:hint="eastAsia"/>
          <w:spacing w:val="10"/>
          <w:sz w:val="24"/>
          <w:highlight w:val="none"/>
        </w:rPr>
        <w:t xml:space="preserve">3.5 </w:t>
      </w:r>
      <w:r>
        <w:rPr>
          <w:rFonts w:hint="eastAsia"/>
          <w:sz w:val="24"/>
          <w:highlight w:val="none"/>
        </w:rPr>
        <w:t>技术监</w:t>
      </w:r>
      <w:r>
        <w:rPr>
          <w:sz w:val="24"/>
          <w:highlight w:val="none"/>
        </w:rPr>
        <w:t>督工作的</w:t>
      </w:r>
      <w:r>
        <w:rPr>
          <w:rFonts w:hint="eastAsia"/>
          <w:sz w:val="24"/>
          <w:highlight w:val="none"/>
        </w:rPr>
        <w:t>服务期限：服务期一年，</w:t>
      </w:r>
      <w:r>
        <w:rPr>
          <w:rFonts w:hint="eastAsia"/>
          <w:sz w:val="24"/>
          <w:highlight w:val="none"/>
          <w:lang w:val="en-US" w:eastAsia="zh-CN"/>
        </w:rPr>
        <w:t>自   年  月 日</w:t>
      </w:r>
      <w:r>
        <w:rPr>
          <w:rFonts w:hint="eastAsia"/>
          <w:sz w:val="24"/>
          <w:highlight w:val="none"/>
        </w:rPr>
        <w:t>起计算。</w:t>
      </w:r>
    </w:p>
    <w:p w14:paraId="4AC7BE01">
      <w:pPr>
        <w:spacing w:line="360" w:lineRule="auto"/>
        <w:rPr>
          <w:sz w:val="24"/>
          <w:highlight w:val="none"/>
        </w:rPr>
      </w:pPr>
      <w:r>
        <w:rPr>
          <w:rFonts w:hint="eastAsia"/>
          <w:spacing w:val="10"/>
          <w:sz w:val="24"/>
          <w:highlight w:val="none"/>
        </w:rPr>
        <w:t xml:space="preserve">3.6 </w:t>
      </w:r>
      <w:r>
        <w:rPr>
          <w:rFonts w:hint="eastAsia"/>
          <w:sz w:val="24"/>
          <w:highlight w:val="none"/>
        </w:rPr>
        <w:t>技术服务进度：根据双方商定计划；</w:t>
      </w:r>
    </w:p>
    <w:p w14:paraId="626F25D7">
      <w:pPr>
        <w:pStyle w:val="11"/>
        <w:tabs>
          <w:tab w:val="left" w:pos="600"/>
        </w:tabs>
        <w:spacing w:line="360" w:lineRule="auto"/>
        <w:ind w:left="0" w:leftChars="0" w:right="0" w:rightChars="0"/>
        <w:rPr>
          <w:highlight w:val="none"/>
        </w:rPr>
      </w:pPr>
      <w:r>
        <w:rPr>
          <w:rFonts w:hint="eastAsia"/>
          <w:highlight w:val="none"/>
        </w:rPr>
        <w:t>3.7技术服务质量要求：乙方根据以下有关国家和行业标准的要求进行技术监督管理（所列标准可能不全）：</w:t>
      </w:r>
    </w:p>
    <w:p w14:paraId="3E6C3949">
      <w:pPr>
        <w:spacing w:line="360" w:lineRule="auto"/>
        <w:ind w:left="199" w:leftChars="95" w:right="386" w:rightChars="184" w:firstLine="540" w:firstLineChars="225"/>
        <w:rPr>
          <w:sz w:val="24"/>
          <w:highlight w:val="none"/>
        </w:rPr>
      </w:pPr>
      <w:r>
        <w:rPr>
          <w:rFonts w:hint="eastAsia"/>
          <w:sz w:val="24"/>
          <w:highlight w:val="none"/>
        </w:rPr>
        <w:t>《电力技术监督导则》</w:t>
      </w:r>
    </w:p>
    <w:p w14:paraId="3F19173E">
      <w:pPr>
        <w:spacing w:line="360" w:lineRule="auto"/>
        <w:ind w:left="199" w:leftChars="95" w:right="386" w:rightChars="184" w:firstLine="540" w:firstLineChars="225"/>
        <w:rPr>
          <w:sz w:val="24"/>
          <w:highlight w:val="none"/>
        </w:rPr>
      </w:pPr>
      <w:r>
        <w:rPr>
          <w:rFonts w:hint="eastAsia"/>
          <w:sz w:val="24"/>
          <w:highlight w:val="none"/>
        </w:rPr>
        <w:t>《火力发电厂金属技术监督规程》</w:t>
      </w:r>
    </w:p>
    <w:p w14:paraId="497CECEE">
      <w:pPr>
        <w:spacing w:line="360" w:lineRule="auto"/>
        <w:ind w:left="199" w:leftChars="95" w:right="386" w:rightChars="184" w:firstLine="540" w:firstLineChars="225"/>
        <w:rPr>
          <w:sz w:val="24"/>
          <w:highlight w:val="none"/>
        </w:rPr>
      </w:pPr>
      <w:r>
        <w:rPr>
          <w:rFonts w:hint="eastAsia"/>
          <w:sz w:val="24"/>
          <w:highlight w:val="none"/>
        </w:rPr>
        <w:t>《化学监督制度》</w:t>
      </w:r>
    </w:p>
    <w:p w14:paraId="620BD4E0">
      <w:pPr>
        <w:spacing w:line="360" w:lineRule="auto"/>
        <w:ind w:left="199" w:leftChars="95" w:right="386" w:rightChars="184" w:firstLine="540" w:firstLineChars="225"/>
        <w:rPr>
          <w:sz w:val="24"/>
          <w:highlight w:val="none"/>
        </w:rPr>
      </w:pPr>
      <w:r>
        <w:rPr>
          <w:rFonts w:hint="eastAsia"/>
          <w:sz w:val="24"/>
          <w:highlight w:val="none"/>
        </w:rPr>
        <w:t>《电力设备预防性试验规程》</w:t>
      </w:r>
    </w:p>
    <w:p w14:paraId="221BFB3C">
      <w:pPr>
        <w:spacing w:line="360" w:lineRule="auto"/>
        <w:ind w:left="199" w:leftChars="95" w:right="386" w:rightChars="184" w:firstLine="540" w:firstLineChars="225"/>
        <w:rPr>
          <w:sz w:val="24"/>
          <w:highlight w:val="none"/>
        </w:rPr>
      </w:pPr>
      <w:r>
        <w:rPr>
          <w:rFonts w:hint="eastAsia"/>
          <w:sz w:val="24"/>
          <w:highlight w:val="none"/>
        </w:rPr>
        <w:t>《电网电能质量技术监督管理规定》</w:t>
      </w:r>
    </w:p>
    <w:p w14:paraId="44DE6FCA">
      <w:pPr>
        <w:spacing w:line="360" w:lineRule="auto"/>
        <w:ind w:left="199" w:leftChars="95" w:right="386" w:rightChars="184" w:firstLine="540" w:firstLineChars="225"/>
        <w:rPr>
          <w:sz w:val="24"/>
          <w:highlight w:val="none"/>
        </w:rPr>
      </w:pPr>
      <w:r>
        <w:rPr>
          <w:rFonts w:hint="eastAsia"/>
          <w:sz w:val="24"/>
          <w:highlight w:val="none"/>
        </w:rPr>
        <w:t>《广西壮族自治区电网谐波管理规定》</w:t>
      </w:r>
    </w:p>
    <w:p w14:paraId="62C00569">
      <w:pPr>
        <w:spacing w:line="360" w:lineRule="auto"/>
        <w:ind w:left="199" w:leftChars="95" w:right="386" w:rightChars="184" w:firstLine="540" w:firstLineChars="225"/>
        <w:rPr>
          <w:sz w:val="24"/>
          <w:highlight w:val="none"/>
        </w:rPr>
      </w:pPr>
      <w:r>
        <w:rPr>
          <w:rFonts w:hint="eastAsia"/>
          <w:sz w:val="24"/>
          <w:highlight w:val="none"/>
        </w:rPr>
        <w:t>《发电机励磁系统技术监督规程》</w:t>
      </w:r>
    </w:p>
    <w:p w14:paraId="78F97687">
      <w:pPr>
        <w:spacing w:line="360" w:lineRule="auto"/>
        <w:ind w:left="199" w:leftChars="95" w:right="386" w:rightChars="184" w:firstLine="540" w:firstLineChars="225"/>
        <w:rPr>
          <w:sz w:val="24"/>
          <w:highlight w:val="none"/>
        </w:rPr>
      </w:pPr>
      <w:r>
        <w:rPr>
          <w:rFonts w:hint="eastAsia"/>
          <w:sz w:val="24"/>
          <w:highlight w:val="none"/>
        </w:rPr>
        <w:t>《节能技术监督导则》</w:t>
      </w:r>
    </w:p>
    <w:p w14:paraId="3B9F9AD0">
      <w:pPr>
        <w:spacing w:line="360" w:lineRule="auto"/>
        <w:ind w:left="199" w:leftChars="95" w:right="386" w:rightChars="184" w:firstLine="540" w:firstLineChars="225"/>
        <w:rPr>
          <w:sz w:val="24"/>
          <w:highlight w:val="none"/>
        </w:rPr>
      </w:pPr>
      <w:r>
        <w:rPr>
          <w:rFonts w:hint="eastAsia"/>
          <w:sz w:val="24"/>
          <w:highlight w:val="none"/>
        </w:rPr>
        <w:t>《发电厂汽轮机、水轮机技术监督导则》</w:t>
      </w:r>
    </w:p>
    <w:p w14:paraId="478C9B51">
      <w:pPr>
        <w:spacing w:line="360" w:lineRule="auto"/>
        <w:ind w:left="199" w:leftChars="95" w:right="386" w:rightChars="184" w:firstLine="540" w:firstLineChars="225"/>
        <w:rPr>
          <w:sz w:val="24"/>
          <w:highlight w:val="none"/>
        </w:rPr>
      </w:pPr>
      <w:r>
        <w:rPr>
          <w:rFonts w:hint="eastAsia"/>
          <w:sz w:val="24"/>
          <w:highlight w:val="none"/>
        </w:rPr>
        <w:t>《发电厂热工仪表及控制系统技术监督导则》</w:t>
      </w:r>
    </w:p>
    <w:p w14:paraId="1DEF2472">
      <w:pPr>
        <w:spacing w:line="360" w:lineRule="auto"/>
        <w:ind w:left="199" w:leftChars="95" w:right="386" w:rightChars="184" w:firstLine="540" w:firstLineChars="225"/>
        <w:rPr>
          <w:sz w:val="24"/>
          <w:highlight w:val="none"/>
        </w:rPr>
      </w:pPr>
      <w:r>
        <w:rPr>
          <w:rFonts w:hint="eastAsia"/>
          <w:sz w:val="24"/>
          <w:highlight w:val="none"/>
        </w:rPr>
        <w:t xml:space="preserve">《高压电气设备绝缘技术监督规程》 </w:t>
      </w:r>
    </w:p>
    <w:p w14:paraId="02F68259">
      <w:pPr>
        <w:spacing w:line="360" w:lineRule="auto"/>
        <w:ind w:left="199" w:leftChars="95" w:right="386" w:rightChars="184" w:firstLine="540" w:firstLineChars="225"/>
        <w:rPr>
          <w:sz w:val="24"/>
          <w:highlight w:val="none"/>
        </w:rPr>
      </w:pPr>
      <w:r>
        <w:rPr>
          <w:rFonts w:hint="eastAsia"/>
          <w:sz w:val="24"/>
          <w:highlight w:val="none"/>
        </w:rPr>
        <w:t>《电测技术监督规程》</w:t>
      </w:r>
    </w:p>
    <w:p w14:paraId="27635C7A">
      <w:pPr>
        <w:spacing w:line="360" w:lineRule="auto"/>
        <w:ind w:left="199" w:leftChars="95" w:right="386" w:rightChars="184" w:firstLine="540" w:firstLineChars="225"/>
        <w:rPr>
          <w:sz w:val="24"/>
          <w:highlight w:val="none"/>
        </w:rPr>
      </w:pPr>
      <w:r>
        <w:rPr>
          <w:rFonts w:hint="eastAsia"/>
          <w:sz w:val="24"/>
          <w:highlight w:val="none"/>
        </w:rPr>
        <w:t>《防止电力生产事故的二十五项重点要求》</w:t>
      </w:r>
    </w:p>
    <w:p w14:paraId="5A5C7F4F">
      <w:pPr>
        <w:pStyle w:val="3"/>
        <w:spacing w:beforeLines="50" w:afterLines="50"/>
        <w:rPr>
          <w:rFonts w:ascii="Times New Roman" w:hAnsi="Times New Roman"/>
          <w:highlight w:val="none"/>
        </w:rPr>
      </w:pPr>
      <w:r>
        <w:rPr>
          <w:rFonts w:hint="eastAsia" w:ascii="Times New Roman" w:hAnsi="Times New Roman"/>
          <w:highlight w:val="none"/>
        </w:rPr>
        <w:t>4</w:t>
      </w:r>
      <w:r>
        <w:rPr>
          <w:rFonts w:ascii="Times New Roman" w:hAnsi="Times New Roman"/>
          <w:highlight w:val="none"/>
        </w:rPr>
        <w:t>双方的责任</w:t>
      </w:r>
      <w:r>
        <w:rPr>
          <w:rFonts w:hint="eastAsia" w:ascii="Times New Roman" w:hAnsi="Times New Roman"/>
          <w:highlight w:val="none"/>
        </w:rPr>
        <w:t>及</w:t>
      </w:r>
      <w:r>
        <w:rPr>
          <w:rFonts w:ascii="Times New Roman" w:hAnsi="Times New Roman"/>
          <w:highlight w:val="none"/>
        </w:rPr>
        <w:t>义务</w:t>
      </w:r>
    </w:p>
    <w:p w14:paraId="068CFE1D">
      <w:pPr>
        <w:snapToGrid w:val="0"/>
        <w:spacing w:before="60" w:line="360" w:lineRule="auto"/>
        <w:rPr>
          <w:sz w:val="24"/>
          <w:highlight w:val="none"/>
        </w:rPr>
      </w:pPr>
      <w:r>
        <w:rPr>
          <w:rFonts w:hint="eastAsia"/>
          <w:sz w:val="24"/>
          <w:highlight w:val="none"/>
        </w:rPr>
        <w:t>4.1．甲方的责任</w:t>
      </w:r>
      <w:r>
        <w:rPr>
          <w:sz w:val="24"/>
          <w:highlight w:val="none"/>
        </w:rPr>
        <w:t>及义务</w:t>
      </w:r>
    </w:p>
    <w:p w14:paraId="02B67AE7">
      <w:pPr>
        <w:snapToGrid w:val="0"/>
        <w:spacing w:before="60" w:line="360" w:lineRule="auto"/>
        <w:ind w:firstLine="480" w:firstLineChars="200"/>
        <w:rPr>
          <w:sz w:val="24"/>
          <w:highlight w:val="none"/>
        </w:rPr>
      </w:pPr>
      <w:r>
        <w:rPr>
          <w:rFonts w:hint="eastAsia"/>
          <w:sz w:val="24"/>
          <w:highlight w:val="none"/>
        </w:rPr>
        <w:t>4.1</w:t>
      </w:r>
      <w:r>
        <w:rPr>
          <w:sz w:val="24"/>
          <w:highlight w:val="none"/>
        </w:rPr>
        <w:t>.1</w:t>
      </w:r>
      <w:r>
        <w:rPr>
          <w:rFonts w:hint="eastAsia"/>
          <w:sz w:val="24"/>
          <w:highlight w:val="none"/>
        </w:rPr>
        <w:t xml:space="preserve">甲方应按规定及时向其上级主管部门及乙方上报技术监督月报表、季度报表、年度报表、本厂年度技术监督工作总结、本厂各专业年度技术监督工作总结； </w:t>
      </w:r>
    </w:p>
    <w:p w14:paraId="2EA9A2BA">
      <w:pPr>
        <w:snapToGrid w:val="0"/>
        <w:spacing w:before="60" w:line="360" w:lineRule="auto"/>
        <w:ind w:firstLine="480" w:firstLineChars="200"/>
        <w:rPr>
          <w:sz w:val="24"/>
          <w:highlight w:val="none"/>
        </w:rPr>
      </w:pPr>
      <w:r>
        <w:rPr>
          <w:rFonts w:hint="eastAsia"/>
          <w:sz w:val="24"/>
          <w:highlight w:val="none"/>
        </w:rPr>
        <w:t>4.1</w:t>
      </w:r>
      <w:r>
        <w:rPr>
          <w:sz w:val="24"/>
          <w:highlight w:val="none"/>
        </w:rPr>
        <w:t>.2</w:t>
      </w:r>
      <w:r>
        <w:rPr>
          <w:rFonts w:hint="eastAsia"/>
          <w:sz w:val="24"/>
          <w:highlight w:val="none"/>
        </w:rPr>
        <w:t xml:space="preserve">及时向乙方通报所属各电厂机组大修项目、重大技术措施及技术改造方案。 </w:t>
      </w:r>
    </w:p>
    <w:p w14:paraId="6E5835BF">
      <w:pPr>
        <w:snapToGrid w:val="0"/>
        <w:spacing w:before="60" w:line="360" w:lineRule="auto"/>
        <w:ind w:firstLine="360" w:firstLineChars="150"/>
        <w:rPr>
          <w:sz w:val="24"/>
          <w:highlight w:val="none"/>
        </w:rPr>
      </w:pPr>
      <w:r>
        <w:rPr>
          <w:rFonts w:hint="eastAsia"/>
          <w:sz w:val="24"/>
          <w:highlight w:val="none"/>
        </w:rPr>
        <w:t xml:space="preserve"> 4.</w:t>
      </w:r>
      <w:r>
        <w:rPr>
          <w:sz w:val="24"/>
          <w:highlight w:val="none"/>
        </w:rPr>
        <w:t>1.3</w:t>
      </w:r>
      <w:r>
        <w:rPr>
          <w:rFonts w:hint="eastAsia"/>
          <w:sz w:val="24"/>
          <w:highlight w:val="none"/>
        </w:rPr>
        <w:t>负责做好机组各项技术监督工作，组织人员进行日常维护和管理；</w:t>
      </w:r>
    </w:p>
    <w:p w14:paraId="5EECAF75">
      <w:pPr>
        <w:snapToGrid w:val="0"/>
        <w:spacing w:before="60" w:line="360" w:lineRule="auto"/>
        <w:ind w:firstLine="480" w:firstLineChars="200"/>
        <w:rPr>
          <w:sz w:val="24"/>
          <w:highlight w:val="none"/>
        </w:rPr>
      </w:pPr>
      <w:r>
        <w:rPr>
          <w:rFonts w:hint="eastAsia"/>
          <w:sz w:val="24"/>
          <w:highlight w:val="none"/>
        </w:rPr>
        <w:t>4.</w:t>
      </w:r>
      <w:r>
        <w:rPr>
          <w:sz w:val="24"/>
          <w:highlight w:val="none"/>
        </w:rPr>
        <w:t>1.4</w:t>
      </w:r>
      <w:r>
        <w:rPr>
          <w:rFonts w:hint="eastAsia"/>
          <w:sz w:val="24"/>
          <w:highlight w:val="none"/>
        </w:rPr>
        <w:t xml:space="preserve">乙方到甲方对机组进行技术监督、技术咨询时，甲方有积极配合的责任，尽力协助提供工作方便； </w:t>
      </w:r>
    </w:p>
    <w:p w14:paraId="21484C42">
      <w:pPr>
        <w:snapToGrid w:val="0"/>
        <w:spacing w:before="60" w:line="360" w:lineRule="auto"/>
        <w:ind w:firstLine="480" w:firstLineChars="200"/>
        <w:rPr>
          <w:sz w:val="24"/>
          <w:highlight w:val="none"/>
        </w:rPr>
      </w:pPr>
      <w:r>
        <w:rPr>
          <w:rFonts w:hint="eastAsia"/>
          <w:sz w:val="24"/>
          <w:highlight w:val="none"/>
        </w:rPr>
        <w:t>4.</w:t>
      </w:r>
      <w:r>
        <w:rPr>
          <w:sz w:val="24"/>
          <w:highlight w:val="none"/>
        </w:rPr>
        <w:t>1.5</w:t>
      </w:r>
      <w:r>
        <w:rPr>
          <w:rFonts w:hint="eastAsia"/>
          <w:sz w:val="24"/>
          <w:highlight w:val="none"/>
        </w:rPr>
        <w:t xml:space="preserve"> 按时派员参加乙方主办或协办的专业会议、培训、学术交流；</w:t>
      </w:r>
    </w:p>
    <w:p w14:paraId="7FC2F326">
      <w:pPr>
        <w:snapToGrid w:val="0"/>
        <w:spacing w:before="60" w:line="360" w:lineRule="auto"/>
        <w:ind w:firstLine="480" w:firstLineChars="200"/>
        <w:rPr>
          <w:sz w:val="24"/>
          <w:highlight w:val="none"/>
        </w:rPr>
      </w:pPr>
      <w:r>
        <w:rPr>
          <w:rFonts w:hint="eastAsia"/>
          <w:sz w:val="24"/>
          <w:highlight w:val="none"/>
        </w:rPr>
        <w:t>4.</w:t>
      </w:r>
      <w:r>
        <w:rPr>
          <w:sz w:val="24"/>
          <w:highlight w:val="none"/>
        </w:rPr>
        <w:t>1.6</w:t>
      </w:r>
      <w:r>
        <w:rPr>
          <w:rFonts w:hint="eastAsia"/>
          <w:sz w:val="24"/>
          <w:highlight w:val="none"/>
        </w:rPr>
        <w:t xml:space="preserve"> 因为事故分析的需要，甲方针对机组需要乙方检验的样品、仪器仪表有送至乙方的义务；如方便的话，乙方可以协助完成；</w:t>
      </w:r>
    </w:p>
    <w:p w14:paraId="56FFBD62">
      <w:pPr>
        <w:snapToGrid w:val="0"/>
        <w:spacing w:before="60" w:line="360" w:lineRule="auto"/>
        <w:ind w:firstLine="480" w:firstLineChars="200"/>
        <w:rPr>
          <w:sz w:val="24"/>
          <w:highlight w:val="none"/>
        </w:rPr>
      </w:pPr>
      <w:r>
        <w:rPr>
          <w:rFonts w:hint="eastAsia"/>
          <w:sz w:val="24"/>
          <w:highlight w:val="none"/>
        </w:rPr>
        <w:t>4.</w:t>
      </w:r>
      <w:r>
        <w:rPr>
          <w:sz w:val="24"/>
          <w:highlight w:val="none"/>
        </w:rPr>
        <w:t>1.7</w:t>
      </w:r>
      <w:r>
        <w:rPr>
          <w:rFonts w:hint="eastAsia"/>
          <w:sz w:val="24"/>
          <w:highlight w:val="none"/>
        </w:rPr>
        <w:t xml:space="preserve"> 甲方针对机组有接受其上级主管部门及乙方的技术监督检查、提供检查所需材料如有关计划、方案措施、技术报告、技术监督有关管理制度等义务。</w:t>
      </w:r>
    </w:p>
    <w:p w14:paraId="0A8D0E1A">
      <w:pPr>
        <w:snapToGrid w:val="0"/>
        <w:spacing w:before="60" w:line="360" w:lineRule="auto"/>
        <w:ind w:firstLine="480" w:firstLineChars="200"/>
        <w:rPr>
          <w:sz w:val="24"/>
          <w:highlight w:val="none"/>
        </w:rPr>
      </w:pPr>
      <w:r>
        <w:rPr>
          <w:rFonts w:hint="eastAsia"/>
          <w:sz w:val="24"/>
          <w:highlight w:val="none"/>
        </w:rPr>
        <w:t>4.1.8甲方负责按合同规定付款。</w:t>
      </w:r>
    </w:p>
    <w:p w14:paraId="7E05FDF5">
      <w:pPr>
        <w:snapToGrid w:val="0"/>
        <w:spacing w:before="60" w:line="360" w:lineRule="auto"/>
        <w:ind w:firstLine="482" w:firstLineChars="200"/>
        <w:rPr>
          <w:sz w:val="24"/>
          <w:highlight w:val="none"/>
        </w:rPr>
      </w:pPr>
      <w:r>
        <w:rPr>
          <w:rFonts w:hint="eastAsia"/>
          <w:b/>
          <w:sz w:val="24"/>
          <w:highlight w:val="none"/>
        </w:rPr>
        <w:t>4.</w:t>
      </w:r>
      <w:r>
        <w:rPr>
          <w:b/>
          <w:sz w:val="24"/>
          <w:highlight w:val="none"/>
        </w:rPr>
        <w:t>2</w:t>
      </w:r>
      <w:r>
        <w:rPr>
          <w:rFonts w:hint="eastAsia"/>
          <w:b/>
          <w:sz w:val="24"/>
          <w:highlight w:val="none"/>
        </w:rPr>
        <w:t>．</w:t>
      </w:r>
      <w:r>
        <w:rPr>
          <w:rFonts w:hint="eastAsia"/>
          <w:sz w:val="24"/>
          <w:highlight w:val="none"/>
        </w:rPr>
        <w:t>乙方</w:t>
      </w:r>
      <w:r>
        <w:rPr>
          <w:sz w:val="24"/>
          <w:highlight w:val="none"/>
        </w:rPr>
        <w:t>的权力及义</w:t>
      </w:r>
      <w:r>
        <w:rPr>
          <w:rFonts w:hint="eastAsia"/>
          <w:sz w:val="24"/>
          <w:highlight w:val="none"/>
        </w:rPr>
        <w:t>务：</w:t>
      </w:r>
    </w:p>
    <w:p w14:paraId="3E3484CC">
      <w:pPr>
        <w:snapToGrid w:val="0"/>
        <w:spacing w:before="60" w:line="360" w:lineRule="auto"/>
        <w:ind w:firstLine="480" w:firstLineChars="200"/>
        <w:rPr>
          <w:sz w:val="24"/>
          <w:highlight w:val="none"/>
        </w:rPr>
      </w:pPr>
      <w:r>
        <w:rPr>
          <w:rFonts w:hint="eastAsia"/>
          <w:sz w:val="24"/>
          <w:highlight w:val="none"/>
        </w:rPr>
        <w:t>4.</w:t>
      </w:r>
      <w:r>
        <w:rPr>
          <w:sz w:val="24"/>
          <w:highlight w:val="none"/>
        </w:rPr>
        <w:t>2</w:t>
      </w:r>
      <w:r>
        <w:rPr>
          <w:rFonts w:hint="eastAsia"/>
          <w:sz w:val="24"/>
          <w:highlight w:val="none"/>
        </w:rPr>
        <w:t>.1乙方为开展本合同工作的需要，有要求甲方提供有关机组的计划、方案措施、技术报告、技术监督有关管理制度等材料的权利。</w:t>
      </w:r>
    </w:p>
    <w:p w14:paraId="63F3EDE1">
      <w:pPr>
        <w:snapToGrid w:val="0"/>
        <w:spacing w:before="60" w:line="360" w:lineRule="auto"/>
        <w:ind w:firstLine="480" w:firstLineChars="200"/>
        <w:rPr>
          <w:sz w:val="24"/>
          <w:highlight w:val="none"/>
        </w:rPr>
      </w:pPr>
      <w:r>
        <w:rPr>
          <w:rFonts w:hint="eastAsia"/>
          <w:sz w:val="24"/>
          <w:highlight w:val="none"/>
        </w:rPr>
        <w:t>4.2.2按照合同约定提供技术监测服务，并根据甲方要求的时间及时出具检测报告。</w:t>
      </w:r>
    </w:p>
    <w:p w14:paraId="3E318B42">
      <w:pPr>
        <w:snapToGrid w:val="0"/>
        <w:spacing w:before="60" w:line="360" w:lineRule="auto"/>
        <w:ind w:firstLine="480" w:firstLineChars="200"/>
        <w:rPr>
          <w:sz w:val="24"/>
          <w:highlight w:val="none"/>
        </w:rPr>
      </w:pPr>
      <w:bookmarkStart w:id="4" w:name="OLE_LINK1"/>
      <w:r>
        <w:rPr>
          <w:rFonts w:hint="eastAsia"/>
          <w:sz w:val="24"/>
          <w:highlight w:val="none"/>
        </w:rPr>
        <w:t>4.2.3采用合适谨慎态度及科学准确的方法，以保证技术监</w:t>
      </w:r>
      <w:r>
        <w:rPr>
          <w:sz w:val="24"/>
          <w:highlight w:val="none"/>
        </w:rPr>
        <w:t>测</w:t>
      </w:r>
      <w:r>
        <w:rPr>
          <w:rFonts w:hint="eastAsia"/>
          <w:sz w:val="24"/>
          <w:highlight w:val="none"/>
        </w:rPr>
        <w:t>服务的高效及监测报告的精确。</w:t>
      </w:r>
    </w:p>
    <w:bookmarkEnd w:id="4"/>
    <w:p w14:paraId="53E3699A">
      <w:pPr>
        <w:snapToGrid w:val="0"/>
        <w:spacing w:before="60" w:line="360" w:lineRule="auto"/>
        <w:ind w:firstLine="480" w:firstLineChars="200"/>
        <w:rPr>
          <w:sz w:val="24"/>
          <w:highlight w:val="none"/>
        </w:rPr>
      </w:pPr>
      <w:r>
        <w:rPr>
          <w:rFonts w:hint="eastAsia"/>
          <w:sz w:val="24"/>
          <w:highlight w:val="none"/>
        </w:rPr>
        <w:t>4.2.4、</w:t>
      </w:r>
      <w:r>
        <w:rPr>
          <w:sz w:val="24"/>
          <w:highlight w:val="none"/>
        </w:rPr>
        <w:t>若因乙方原因引起的工期延误，乙方应承担违约责任，每延误一天</w:t>
      </w:r>
      <w:r>
        <w:rPr>
          <w:rFonts w:hint="eastAsia"/>
          <w:sz w:val="24"/>
          <w:highlight w:val="none"/>
        </w:rPr>
        <w:t>应偿付</w:t>
      </w:r>
      <w:r>
        <w:rPr>
          <w:sz w:val="24"/>
          <w:highlight w:val="none"/>
        </w:rPr>
        <w:t>合同总额的</w:t>
      </w:r>
      <w:r>
        <w:rPr>
          <w:rFonts w:hint="eastAsia"/>
          <w:sz w:val="24"/>
          <w:highlight w:val="none"/>
        </w:rPr>
        <w:t>1</w:t>
      </w:r>
      <w:r>
        <w:rPr>
          <w:sz w:val="24"/>
          <w:highlight w:val="none"/>
        </w:rPr>
        <w:t>%</w:t>
      </w:r>
      <w:r>
        <w:rPr>
          <w:rFonts w:hint="eastAsia"/>
          <w:sz w:val="24"/>
          <w:highlight w:val="none"/>
        </w:rPr>
        <w:t>违约金</w:t>
      </w:r>
      <w:r>
        <w:rPr>
          <w:sz w:val="24"/>
          <w:highlight w:val="none"/>
        </w:rPr>
        <w:t>。</w:t>
      </w:r>
    </w:p>
    <w:p w14:paraId="0F65DCFE">
      <w:pPr>
        <w:snapToGrid w:val="0"/>
        <w:spacing w:before="60" w:line="360" w:lineRule="auto"/>
        <w:ind w:firstLine="480" w:firstLineChars="200"/>
        <w:rPr>
          <w:rFonts w:hint="eastAsia"/>
          <w:sz w:val="24"/>
          <w:highlight w:val="none"/>
        </w:rPr>
      </w:pPr>
      <w:r>
        <w:rPr>
          <w:rFonts w:hint="eastAsia"/>
          <w:sz w:val="24"/>
          <w:highlight w:val="none"/>
        </w:rPr>
        <w:t>4.</w:t>
      </w:r>
      <w:r>
        <w:rPr>
          <w:sz w:val="24"/>
          <w:highlight w:val="none"/>
        </w:rPr>
        <w:t>2.5</w:t>
      </w:r>
      <w:r>
        <w:rPr>
          <w:rFonts w:hint="eastAsia"/>
          <w:sz w:val="24"/>
          <w:highlight w:val="none"/>
        </w:rPr>
        <w:t>、甲方提供给乙方的所有资料仅限用于本项目使用，乙方在本合同期内及合同终止后，均负有保密的义务。未经甲方事先书面同意</w:t>
      </w:r>
      <w:r>
        <w:rPr>
          <w:rFonts w:hint="eastAsia"/>
          <w:sz w:val="24"/>
          <w:highlight w:val="none"/>
          <w:lang w:eastAsia="zh-CN"/>
        </w:rPr>
        <w:t>，</w:t>
      </w:r>
      <w:r>
        <w:rPr>
          <w:rFonts w:hint="eastAsia"/>
          <w:sz w:val="24"/>
          <w:highlight w:val="none"/>
        </w:rPr>
        <w:t>乙方及其员工不得将资料和环境状况、产品技术、生产工艺等泄露给第三方，否则，乙方应退还甲方已付的款项并赔偿因其泄露行为而给甲方单位造成的一切经济损失，包括甲方因此而发生的律师费、诉讼费、保全费及执行费等相关费用。</w:t>
      </w:r>
    </w:p>
    <w:p w14:paraId="14B28C1C">
      <w:pPr>
        <w:snapToGrid w:val="0"/>
        <w:spacing w:before="60" w:line="360" w:lineRule="auto"/>
        <w:ind w:firstLine="480" w:firstLineChars="200"/>
        <w:rPr>
          <w:rFonts w:hint="eastAsia"/>
          <w:sz w:val="24"/>
          <w:highlight w:val="none"/>
        </w:rPr>
      </w:pPr>
      <w:r>
        <w:rPr>
          <w:rFonts w:hint="eastAsia"/>
          <w:sz w:val="24"/>
          <w:highlight w:val="none"/>
        </w:rPr>
        <w:t>4.2.6、乙方应严格执行202</w:t>
      </w:r>
      <w:r>
        <w:rPr>
          <w:rFonts w:hint="eastAsia"/>
          <w:sz w:val="24"/>
          <w:highlight w:val="none"/>
          <w:lang w:val="en-US" w:eastAsia="zh-CN"/>
        </w:rPr>
        <w:t>6</w:t>
      </w:r>
      <w:r>
        <w:rPr>
          <w:rFonts w:hint="eastAsia"/>
          <w:sz w:val="24"/>
          <w:highlight w:val="none"/>
        </w:rPr>
        <w:t>年度技术监督工作服务方案对甲方进行技术监督。</w:t>
      </w:r>
    </w:p>
    <w:p w14:paraId="4B32841A">
      <w:pPr>
        <w:snapToGrid w:val="0"/>
        <w:spacing w:before="60" w:line="360" w:lineRule="auto"/>
        <w:ind w:firstLine="480" w:firstLineChars="200"/>
        <w:rPr>
          <w:rFonts w:hint="eastAsia"/>
          <w:sz w:val="24"/>
          <w:highlight w:val="none"/>
        </w:rPr>
      </w:pPr>
    </w:p>
    <w:p w14:paraId="25FAB4E8">
      <w:pPr>
        <w:pStyle w:val="3"/>
        <w:spacing w:beforeLines="50" w:afterLines="50"/>
        <w:rPr>
          <w:rFonts w:ascii="Times New Roman"/>
          <w:highlight w:val="none"/>
        </w:rPr>
      </w:pPr>
      <w:r>
        <w:rPr>
          <w:rFonts w:hint="eastAsia" w:ascii="Times New Roman" w:hAnsi="Times New Roman"/>
          <w:highlight w:val="none"/>
        </w:rPr>
        <w:t>5</w:t>
      </w:r>
      <w:r>
        <w:rPr>
          <w:rFonts w:ascii="Times New Roman"/>
          <w:highlight w:val="none"/>
        </w:rPr>
        <w:t>合同价格</w:t>
      </w:r>
    </w:p>
    <w:p w14:paraId="46948EEC">
      <w:pPr>
        <w:widowControl/>
        <w:spacing w:line="480" w:lineRule="exact"/>
        <w:rPr>
          <w:sz w:val="24"/>
          <w:highlight w:val="none"/>
        </w:rPr>
      </w:pPr>
      <w:r>
        <w:rPr>
          <w:rFonts w:hint="eastAsia"/>
          <w:sz w:val="24"/>
          <w:highlight w:val="none"/>
        </w:rPr>
        <w:t>5.1、承包方式：总价承包，全年服务费</w:t>
      </w:r>
      <w:r>
        <w:rPr>
          <w:sz w:val="24"/>
          <w:highlight w:val="none"/>
        </w:rPr>
        <w:t>用</w:t>
      </w:r>
      <w:r>
        <w:rPr>
          <w:rFonts w:hint="eastAsia"/>
          <w:sz w:val="24"/>
          <w:highlight w:val="none"/>
          <w:u w:val="single"/>
          <w:lang w:val="en-US" w:eastAsia="zh-CN"/>
        </w:rPr>
        <w:t>人民币玖万伍仟</w:t>
      </w:r>
      <w:r>
        <w:rPr>
          <w:rFonts w:hint="eastAsia"/>
          <w:sz w:val="24"/>
          <w:highlight w:val="none"/>
        </w:rPr>
        <w:t>元</w:t>
      </w:r>
      <w:r>
        <w:rPr>
          <w:rFonts w:hint="eastAsia"/>
          <w:sz w:val="24"/>
          <w:highlight w:val="none"/>
          <w:lang w:val="en-US" w:eastAsia="zh-CN"/>
        </w:rPr>
        <w:t xml:space="preserve">整 </w:t>
      </w:r>
      <w:r>
        <w:rPr>
          <w:rFonts w:hint="eastAsia"/>
          <w:sz w:val="24"/>
          <w:highlight w:val="none"/>
        </w:rPr>
        <w:t>（</w:t>
      </w:r>
      <w:r>
        <w:rPr>
          <w:sz w:val="24"/>
          <w:highlight w:val="none"/>
        </w:rPr>
        <w:t>含税</w:t>
      </w:r>
      <w:r>
        <w:rPr>
          <w:rFonts w:hint="eastAsia"/>
          <w:sz w:val="24"/>
          <w:highlight w:val="none"/>
        </w:rPr>
        <w:t>）（￥</w:t>
      </w:r>
      <w:r>
        <w:rPr>
          <w:rFonts w:hint="eastAsia"/>
          <w:sz w:val="24"/>
          <w:highlight w:val="none"/>
          <w:u w:val="single"/>
          <w:lang w:val="en-US" w:eastAsia="zh-CN"/>
        </w:rPr>
        <w:t>95000</w:t>
      </w:r>
      <w:r>
        <w:rPr>
          <w:rFonts w:hint="eastAsia"/>
          <w:sz w:val="24"/>
          <w:highlight w:val="none"/>
        </w:rPr>
        <w:t>元）,合</w:t>
      </w:r>
      <w:r>
        <w:rPr>
          <w:sz w:val="24"/>
          <w:highlight w:val="none"/>
        </w:rPr>
        <w:t>同期内价格不变</w:t>
      </w:r>
      <w:r>
        <w:rPr>
          <w:rFonts w:hint="eastAsia"/>
          <w:sz w:val="24"/>
          <w:highlight w:val="none"/>
        </w:rPr>
        <w:t>。</w:t>
      </w:r>
    </w:p>
    <w:p w14:paraId="17F43269">
      <w:pPr>
        <w:widowControl/>
        <w:spacing w:line="480" w:lineRule="exact"/>
        <w:rPr>
          <w:sz w:val="24"/>
          <w:highlight w:val="none"/>
        </w:rPr>
      </w:pPr>
      <w:r>
        <w:rPr>
          <w:rFonts w:hint="eastAsia"/>
          <w:sz w:val="24"/>
          <w:highlight w:val="none"/>
        </w:rPr>
        <w:t>5.2、技术服务费：</w:t>
      </w:r>
      <w:r>
        <w:rPr>
          <w:rFonts w:hint="eastAsia"/>
          <w:sz w:val="24"/>
          <w:highlight w:val="none"/>
          <w:lang w:eastAsia="zh-CN"/>
        </w:rPr>
        <w:t>阳朔县深能环保有限公司</w:t>
      </w:r>
      <w:r>
        <w:rPr>
          <w:rFonts w:hint="eastAsia"/>
          <w:sz w:val="24"/>
          <w:highlight w:val="none"/>
          <w:lang w:val="en-US" w:eastAsia="zh-CN"/>
        </w:rPr>
        <w:t>2026</w:t>
      </w:r>
      <w:r>
        <w:rPr>
          <w:rFonts w:hint="eastAsia"/>
          <w:sz w:val="24"/>
          <w:highlight w:val="none"/>
        </w:rPr>
        <w:t>年度技术监督工作服务费,包括但不限于技术</w:t>
      </w:r>
      <w:r>
        <w:rPr>
          <w:sz w:val="24"/>
          <w:highlight w:val="none"/>
        </w:rPr>
        <w:t>开发费、</w:t>
      </w:r>
      <w:r>
        <w:rPr>
          <w:rFonts w:hint="eastAsia"/>
          <w:sz w:val="24"/>
          <w:highlight w:val="none"/>
        </w:rPr>
        <w:t>设备折</w:t>
      </w:r>
      <w:r>
        <w:rPr>
          <w:sz w:val="24"/>
          <w:highlight w:val="none"/>
        </w:rPr>
        <w:t>旧</w:t>
      </w:r>
      <w:r>
        <w:rPr>
          <w:rFonts w:hint="eastAsia"/>
          <w:sz w:val="24"/>
          <w:highlight w:val="none"/>
        </w:rPr>
        <w:t>、</w:t>
      </w:r>
      <w:r>
        <w:rPr>
          <w:sz w:val="24"/>
          <w:highlight w:val="none"/>
        </w:rPr>
        <w:t>人员工资、补贴、劳保、福利、</w:t>
      </w:r>
      <w:r>
        <w:rPr>
          <w:rFonts w:hint="eastAsia"/>
          <w:sz w:val="24"/>
          <w:highlight w:val="none"/>
        </w:rPr>
        <w:t>医疗</w:t>
      </w:r>
      <w:r>
        <w:rPr>
          <w:sz w:val="24"/>
          <w:highlight w:val="none"/>
        </w:rPr>
        <w:t>、保险、管理、</w:t>
      </w:r>
      <w:r>
        <w:rPr>
          <w:rFonts w:hint="eastAsia"/>
          <w:sz w:val="24"/>
          <w:highlight w:val="none"/>
        </w:rPr>
        <w:t>利润、税金、报告编制印刷、合同包含的所有风险等。乙方在技术监督</w:t>
      </w:r>
      <w:r>
        <w:rPr>
          <w:sz w:val="24"/>
          <w:highlight w:val="none"/>
        </w:rPr>
        <w:t>服务</w:t>
      </w:r>
      <w:r>
        <w:rPr>
          <w:rFonts w:hint="eastAsia"/>
          <w:sz w:val="24"/>
          <w:highlight w:val="none"/>
        </w:rPr>
        <w:t>过程中可能发生的全部费用均由乙方承担。</w:t>
      </w:r>
    </w:p>
    <w:p w14:paraId="467ECF9A">
      <w:pPr>
        <w:widowControl/>
        <w:spacing w:line="480" w:lineRule="exact"/>
        <w:rPr>
          <w:sz w:val="24"/>
          <w:highlight w:val="none"/>
        </w:rPr>
      </w:pPr>
      <w:r>
        <w:rPr>
          <w:rFonts w:hint="eastAsia"/>
          <w:sz w:val="24"/>
          <w:highlight w:val="none"/>
        </w:rPr>
        <w:t>5.</w:t>
      </w:r>
      <w:r>
        <w:rPr>
          <w:sz w:val="24"/>
          <w:highlight w:val="none"/>
        </w:rPr>
        <w:t>3</w:t>
      </w:r>
      <w:r>
        <w:rPr>
          <w:rFonts w:hint="eastAsia"/>
          <w:sz w:val="24"/>
          <w:highlight w:val="none"/>
        </w:rPr>
        <w:t>、技术监</w:t>
      </w:r>
      <w:r>
        <w:rPr>
          <w:sz w:val="24"/>
          <w:highlight w:val="none"/>
        </w:rPr>
        <w:t>督</w:t>
      </w:r>
      <w:r>
        <w:rPr>
          <w:rFonts w:hint="eastAsia"/>
          <w:sz w:val="24"/>
          <w:highlight w:val="none"/>
        </w:rPr>
        <w:t>过程中，甲方应为乙方提供必要的工作条件并配合乙方工作，乙方技术监督</w:t>
      </w:r>
      <w:r>
        <w:rPr>
          <w:sz w:val="24"/>
          <w:highlight w:val="none"/>
        </w:rPr>
        <w:t>服务</w:t>
      </w:r>
      <w:r>
        <w:rPr>
          <w:rFonts w:hint="eastAsia"/>
          <w:sz w:val="24"/>
          <w:highlight w:val="none"/>
        </w:rPr>
        <w:t>人员应遵守甲方的安全管理规定。</w:t>
      </w:r>
    </w:p>
    <w:p w14:paraId="1461B8E6">
      <w:pPr>
        <w:pStyle w:val="3"/>
        <w:spacing w:beforeLines="50" w:afterLines="50"/>
        <w:ind w:firstLine="3855" w:firstLineChars="1200"/>
        <w:jc w:val="both"/>
        <w:rPr>
          <w:rFonts w:ascii="Times New Roman" w:hAnsi="Times New Roman"/>
          <w:highlight w:val="none"/>
        </w:rPr>
      </w:pPr>
      <w:r>
        <w:rPr>
          <w:rFonts w:hint="eastAsia" w:ascii="Times New Roman" w:hAnsi="Times New Roman"/>
          <w:highlight w:val="none"/>
        </w:rPr>
        <w:t>6</w:t>
      </w:r>
      <w:r>
        <w:rPr>
          <w:rFonts w:ascii="Times New Roman"/>
          <w:highlight w:val="none"/>
        </w:rPr>
        <w:t>付款</w:t>
      </w:r>
    </w:p>
    <w:p w14:paraId="26800CAA">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.1 本合同使用货币种类为人民币。</w:t>
      </w:r>
    </w:p>
    <w:p w14:paraId="12C75A49">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.2 付款方式：银行转账</w:t>
      </w:r>
    </w:p>
    <w:p w14:paraId="6B8157D2">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.3</w:t>
      </w:r>
      <w:r>
        <w:rPr>
          <w:rFonts w:hint="eastAsia" w:hAnsi="宋体"/>
          <w:spacing w:val="10"/>
          <w:sz w:val="24"/>
          <w:highlight w:val="none"/>
        </w:rPr>
        <w:t>服务费</w:t>
      </w:r>
      <w:r>
        <w:rPr>
          <w:rFonts w:hAnsi="宋体"/>
          <w:spacing w:val="10"/>
          <w:sz w:val="24"/>
          <w:highlight w:val="none"/>
        </w:rPr>
        <w:t>款项的支付：</w:t>
      </w:r>
    </w:p>
    <w:p w14:paraId="12FADB82">
      <w:pPr>
        <w:spacing w:line="360" w:lineRule="auto"/>
        <w:rPr>
          <w:rFonts w:hAnsi="宋体"/>
          <w:spacing w:val="10"/>
          <w:sz w:val="24"/>
          <w:highlight w:val="none"/>
        </w:rPr>
      </w:pPr>
      <w:r>
        <w:rPr>
          <w:rFonts w:hint="eastAsia" w:hAnsi="宋体"/>
          <w:spacing w:val="10"/>
          <w:sz w:val="24"/>
          <w:highlight w:val="none"/>
        </w:rPr>
        <w:t>6.3.1</w:t>
      </w:r>
      <w:r>
        <w:rPr>
          <w:spacing w:val="10"/>
          <w:sz w:val="24"/>
          <w:highlight w:val="none"/>
        </w:rPr>
        <w:t>年度</w:t>
      </w:r>
      <w:r>
        <w:rPr>
          <w:rFonts w:hint="eastAsia"/>
          <w:spacing w:val="10"/>
          <w:sz w:val="24"/>
          <w:highlight w:val="none"/>
        </w:rPr>
        <w:t>技术监督服务费</w:t>
      </w:r>
      <w:r>
        <w:rPr>
          <w:rFonts w:hint="eastAsia"/>
          <w:spacing w:val="10"/>
          <w:sz w:val="24"/>
          <w:highlight w:val="none"/>
          <w:lang w:val="en-US" w:eastAsia="zh-CN"/>
        </w:rPr>
        <w:t>在合同服务结束后经甲乙双方签字确认后</w:t>
      </w:r>
      <w:r>
        <w:rPr>
          <w:rFonts w:hint="eastAsia"/>
          <w:spacing w:val="10"/>
          <w:sz w:val="24"/>
          <w:highlight w:val="none"/>
        </w:rPr>
        <w:t>支付</w:t>
      </w:r>
      <w:r>
        <w:rPr>
          <w:rFonts w:hint="eastAsia"/>
          <w:spacing w:val="10"/>
          <w:sz w:val="24"/>
          <w:highlight w:val="none"/>
          <w:lang w:val="en-US" w:eastAsia="zh-CN"/>
        </w:rPr>
        <w:t>合同价款的100%</w:t>
      </w:r>
      <w:r>
        <w:rPr>
          <w:rFonts w:hint="eastAsia" w:hAnsi="宋体"/>
          <w:spacing w:val="10"/>
          <w:sz w:val="24"/>
          <w:highlight w:val="none"/>
        </w:rPr>
        <w:t>。在办理付款前，乙方需按税法规定向甲方开具等额的(税率6%）增值税专用发票</w:t>
      </w:r>
      <w:r>
        <w:rPr>
          <w:rFonts w:hAnsi="宋体"/>
          <w:spacing w:val="10"/>
          <w:sz w:val="24"/>
          <w:highlight w:val="none"/>
        </w:rPr>
        <w:t>。</w:t>
      </w:r>
    </w:p>
    <w:p w14:paraId="11108125">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w:t>
      </w:r>
      <w:r>
        <w:rPr>
          <w:rFonts w:hint="eastAsia" w:hAnsi="宋体"/>
          <w:spacing w:val="10"/>
          <w:sz w:val="24"/>
          <w:highlight w:val="none"/>
        </w:rPr>
        <w:t xml:space="preserve">4  </w:t>
      </w:r>
      <w:r>
        <w:rPr>
          <w:rFonts w:hAnsi="宋体"/>
          <w:spacing w:val="10"/>
          <w:sz w:val="24"/>
          <w:highlight w:val="none"/>
        </w:rPr>
        <w:t>违约金的扣除与支付</w:t>
      </w:r>
    </w:p>
    <w:p w14:paraId="5BBEB0FC">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w:t>
      </w:r>
      <w:r>
        <w:rPr>
          <w:rFonts w:hint="eastAsia" w:hAnsi="宋体"/>
          <w:spacing w:val="10"/>
          <w:sz w:val="24"/>
          <w:highlight w:val="none"/>
        </w:rPr>
        <w:t>4</w:t>
      </w:r>
      <w:r>
        <w:rPr>
          <w:rFonts w:hAnsi="宋体"/>
          <w:spacing w:val="10"/>
          <w:sz w:val="24"/>
          <w:highlight w:val="none"/>
        </w:rPr>
        <w:t>.1 如果发生乙方的合同履行违约行为，相关款项将由乙方在接到甲方的书面通知和此类赔偿的证明文件且双方达成共识后1个月内向甲方支付，甲方也有权从任何一笔付款中扣除，上述金额不足扣除部分，甲方有权向乙方继续追索，乙方应予</w:t>
      </w:r>
      <w:r>
        <w:rPr>
          <w:rFonts w:hint="eastAsia" w:hAnsi="宋体"/>
          <w:spacing w:val="10"/>
          <w:sz w:val="24"/>
          <w:highlight w:val="none"/>
        </w:rPr>
        <w:t>以</w:t>
      </w:r>
      <w:r>
        <w:rPr>
          <w:rFonts w:hAnsi="宋体"/>
          <w:spacing w:val="10"/>
          <w:sz w:val="24"/>
          <w:highlight w:val="none"/>
        </w:rPr>
        <w:t>支付。</w:t>
      </w:r>
    </w:p>
    <w:p w14:paraId="17B19E94">
      <w:pPr>
        <w:spacing w:line="360" w:lineRule="auto"/>
        <w:rPr>
          <w:rFonts w:hAnsi="宋体"/>
          <w:spacing w:val="10"/>
          <w:sz w:val="24"/>
          <w:highlight w:val="none"/>
        </w:rPr>
      </w:pPr>
      <w:r>
        <w:rPr>
          <w:rFonts w:hint="eastAsia" w:hAnsi="宋体"/>
          <w:spacing w:val="10"/>
          <w:sz w:val="24"/>
          <w:highlight w:val="none"/>
        </w:rPr>
        <w:t>6</w:t>
      </w:r>
      <w:r>
        <w:rPr>
          <w:rFonts w:hAnsi="宋体"/>
          <w:spacing w:val="10"/>
          <w:sz w:val="24"/>
          <w:highlight w:val="none"/>
        </w:rPr>
        <w:t>.</w:t>
      </w:r>
      <w:r>
        <w:rPr>
          <w:rFonts w:hint="eastAsia" w:hAnsi="宋体"/>
          <w:spacing w:val="10"/>
          <w:sz w:val="24"/>
          <w:highlight w:val="none"/>
        </w:rPr>
        <w:t>4</w:t>
      </w:r>
      <w:r>
        <w:rPr>
          <w:rFonts w:hAnsi="宋体"/>
          <w:spacing w:val="10"/>
          <w:sz w:val="24"/>
          <w:highlight w:val="none"/>
        </w:rPr>
        <w:t>.2 如果发生甲方的合同履行违约，相关款项将由甲方在接到乙方的书面通知和此类赔偿的证明文件且双方达成共识后1个月内向乙方支付。</w:t>
      </w:r>
    </w:p>
    <w:p w14:paraId="0E156601">
      <w:pPr>
        <w:spacing w:line="360" w:lineRule="auto"/>
        <w:rPr>
          <w:rFonts w:hAnsi="宋体"/>
          <w:spacing w:val="10"/>
          <w:sz w:val="24"/>
          <w:highlight w:val="none"/>
        </w:rPr>
      </w:pPr>
    </w:p>
    <w:p w14:paraId="4552429D">
      <w:pPr>
        <w:pStyle w:val="3"/>
        <w:spacing w:beforeLines="50" w:afterLines="50"/>
        <w:rPr>
          <w:rFonts w:ascii="Times New Roman" w:hAnsi="Times New Roman"/>
          <w:highlight w:val="none"/>
        </w:rPr>
      </w:pPr>
      <w:r>
        <w:rPr>
          <w:rFonts w:hint="eastAsia" w:ascii="Times New Roman" w:hAnsi="Times New Roman"/>
          <w:highlight w:val="none"/>
        </w:rPr>
        <w:t>7</w:t>
      </w:r>
      <w:r>
        <w:rPr>
          <w:rFonts w:ascii="Times New Roman"/>
          <w:highlight w:val="none"/>
        </w:rPr>
        <w:t>验收</w:t>
      </w:r>
    </w:p>
    <w:p w14:paraId="6801A42E">
      <w:pPr>
        <w:snapToGrid w:val="0"/>
        <w:spacing w:before="60" w:line="360" w:lineRule="auto"/>
        <w:rPr>
          <w:sz w:val="24"/>
          <w:highlight w:val="none"/>
        </w:rPr>
      </w:pPr>
      <w:r>
        <w:rPr>
          <w:rFonts w:hint="eastAsia"/>
          <w:sz w:val="24"/>
          <w:highlight w:val="none"/>
        </w:rPr>
        <w:t>7.1．乙方完成技术监督服务工作的形式： 按照要求提供咨询 ，在去电厂开展工作前准备好检查项目及内容，检查后的两星期内向电厂提交初步工作报告；</w:t>
      </w:r>
    </w:p>
    <w:p w14:paraId="5A45FE8C">
      <w:pPr>
        <w:snapToGrid w:val="0"/>
        <w:spacing w:before="60" w:line="360" w:lineRule="auto"/>
        <w:rPr>
          <w:sz w:val="24"/>
          <w:highlight w:val="none"/>
        </w:rPr>
      </w:pPr>
      <w:r>
        <w:rPr>
          <w:rFonts w:hint="eastAsia"/>
          <w:sz w:val="24"/>
          <w:highlight w:val="none"/>
        </w:rPr>
        <w:t xml:space="preserve">7.2．技术监督服务工作成果的验收标准：按合同条款验收； </w:t>
      </w:r>
    </w:p>
    <w:p w14:paraId="5B26B8B9">
      <w:pPr>
        <w:spacing w:line="360" w:lineRule="auto"/>
        <w:ind w:right="95"/>
        <w:rPr>
          <w:sz w:val="24"/>
          <w:highlight w:val="none"/>
        </w:rPr>
      </w:pPr>
      <w:r>
        <w:rPr>
          <w:rFonts w:hint="eastAsia"/>
          <w:sz w:val="24"/>
          <w:highlight w:val="none"/>
        </w:rPr>
        <w:t>7.3．技术监督服务工作成果的验收方式：乙方在合同期结束后一个月提交技术监督总结报告，</w:t>
      </w:r>
      <w:r>
        <w:rPr>
          <w:rFonts w:hint="eastAsia"/>
          <w:sz w:val="24"/>
          <w:highlight w:val="none"/>
          <w:lang w:val="en-US" w:eastAsia="zh-CN"/>
        </w:rPr>
        <w:t>甲方根据技术监督总结报告进行整改，乙</w:t>
      </w:r>
      <w:r>
        <w:rPr>
          <w:rFonts w:hint="eastAsia"/>
          <w:sz w:val="24"/>
          <w:highlight w:val="none"/>
        </w:rPr>
        <w:t>方进行验收。。</w:t>
      </w:r>
    </w:p>
    <w:p w14:paraId="598C50A7">
      <w:pPr>
        <w:snapToGrid w:val="0"/>
        <w:spacing w:before="60" w:line="360" w:lineRule="auto"/>
        <w:rPr>
          <w:sz w:val="24"/>
          <w:highlight w:val="none"/>
        </w:rPr>
      </w:pPr>
      <w:r>
        <w:rPr>
          <w:rFonts w:hint="eastAsia"/>
          <w:sz w:val="24"/>
          <w:highlight w:val="none"/>
        </w:rPr>
        <w:t>7.4.服务工作成果提交形式、份数：书面报告6份、电子文件3份。</w:t>
      </w:r>
    </w:p>
    <w:p w14:paraId="63B5DCD4">
      <w:pPr>
        <w:spacing w:line="480" w:lineRule="exact"/>
        <w:rPr>
          <w:sz w:val="24"/>
          <w:highlight w:val="none"/>
        </w:rPr>
      </w:pPr>
      <w:r>
        <w:rPr>
          <w:rFonts w:hint="eastAsia"/>
          <w:sz w:val="24"/>
          <w:highlight w:val="none"/>
        </w:rPr>
        <w:t>本合同的变更必须由双方协商一致，并以书面形式确定。</w:t>
      </w:r>
    </w:p>
    <w:p w14:paraId="1D02E465">
      <w:pPr>
        <w:spacing w:line="360" w:lineRule="auto"/>
        <w:ind w:firstLine="520" w:firstLineChars="200"/>
        <w:rPr>
          <w:rFonts w:hAnsi="宋体"/>
          <w:spacing w:val="10"/>
          <w:sz w:val="24"/>
          <w:highlight w:val="none"/>
        </w:rPr>
      </w:pPr>
    </w:p>
    <w:p w14:paraId="3CA72B8F">
      <w:pPr>
        <w:pStyle w:val="3"/>
        <w:spacing w:beforeLines="50" w:afterLines="50"/>
        <w:rPr>
          <w:rFonts w:ascii="Times New Roman" w:hAnsi="Times New Roman"/>
          <w:highlight w:val="none"/>
        </w:rPr>
      </w:pPr>
      <w:r>
        <w:rPr>
          <w:rFonts w:hint="eastAsia" w:ascii="Times New Roman" w:hAnsi="Times New Roman"/>
          <w:highlight w:val="none"/>
        </w:rPr>
        <w:t xml:space="preserve">8 </w:t>
      </w:r>
      <w:r>
        <w:rPr>
          <w:rFonts w:ascii="Times New Roman"/>
          <w:highlight w:val="none"/>
        </w:rPr>
        <w:t>违约责任</w:t>
      </w:r>
    </w:p>
    <w:p w14:paraId="1E07B4B4">
      <w:pPr>
        <w:spacing w:line="360" w:lineRule="auto"/>
        <w:rPr>
          <w:rFonts w:hAnsi="宋体"/>
          <w:spacing w:val="10"/>
          <w:sz w:val="24"/>
          <w:highlight w:val="none"/>
        </w:rPr>
      </w:pPr>
      <w:r>
        <w:rPr>
          <w:rFonts w:hAnsi="宋体"/>
          <w:spacing w:val="10"/>
          <w:sz w:val="24"/>
          <w:highlight w:val="none"/>
        </w:rPr>
        <w:t>8.1 乙方违约责任</w:t>
      </w:r>
    </w:p>
    <w:p w14:paraId="0E3F43FB">
      <w:pPr>
        <w:spacing w:line="360" w:lineRule="auto"/>
        <w:rPr>
          <w:rFonts w:hAnsi="宋体"/>
          <w:spacing w:val="10"/>
          <w:sz w:val="24"/>
          <w:highlight w:val="none"/>
        </w:rPr>
      </w:pPr>
      <w:r>
        <w:rPr>
          <w:rFonts w:hAnsi="宋体"/>
          <w:spacing w:val="10"/>
          <w:sz w:val="24"/>
          <w:highlight w:val="none"/>
        </w:rPr>
        <w:t>8.1.1 因乙方责任未履行本合同项下所列服务项目，存在丢项、漏项的，</w:t>
      </w:r>
      <w:r>
        <w:rPr>
          <w:rFonts w:hint="eastAsia" w:ascii="宋体" w:hAnsi="宋体"/>
          <w:sz w:val="24"/>
          <w:highlight w:val="none"/>
        </w:rPr>
        <w:t>每项次扣款2000元/项,全年达到3项及以上, 每项再追加扣款2000元/项,月度扣款不影响年度的考核扣款。</w:t>
      </w:r>
    </w:p>
    <w:p w14:paraId="234D23AD">
      <w:pPr>
        <w:spacing w:line="360" w:lineRule="auto"/>
        <w:rPr>
          <w:rFonts w:hAnsi="宋体"/>
          <w:spacing w:val="10"/>
          <w:sz w:val="24"/>
          <w:highlight w:val="none"/>
        </w:rPr>
      </w:pPr>
      <w:r>
        <w:rPr>
          <w:rFonts w:hint="eastAsia"/>
          <w:spacing w:val="10"/>
          <w:sz w:val="24"/>
          <w:highlight w:val="none"/>
        </w:rPr>
        <w:t>8.1.2</w:t>
      </w:r>
      <w:r>
        <w:rPr>
          <w:rFonts w:hAnsi="宋体"/>
          <w:spacing w:val="10"/>
          <w:sz w:val="24"/>
          <w:highlight w:val="none"/>
        </w:rPr>
        <w:t>对甲方送检的分析样品及校验仪表</w:t>
      </w:r>
      <w:r>
        <w:rPr>
          <w:rFonts w:hint="eastAsia" w:hAnsi="宋体"/>
          <w:spacing w:val="10"/>
          <w:sz w:val="24"/>
          <w:highlight w:val="none"/>
        </w:rPr>
        <w:t>未能按送检清单要求的时间</w:t>
      </w:r>
      <w:r>
        <w:rPr>
          <w:rFonts w:hAnsi="宋体"/>
          <w:spacing w:val="10"/>
          <w:sz w:val="24"/>
          <w:highlight w:val="none"/>
        </w:rPr>
        <w:t>完成分析及校验工作</w:t>
      </w:r>
      <w:r>
        <w:rPr>
          <w:rFonts w:hint="eastAsia" w:hAnsi="宋体"/>
          <w:spacing w:val="10"/>
          <w:sz w:val="24"/>
          <w:highlight w:val="none"/>
        </w:rPr>
        <w:t>并提供技术报告，超过20天</w:t>
      </w:r>
      <w:r>
        <w:rPr>
          <w:rFonts w:hint="eastAsia" w:ascii="宋体" w:hAnsi="宋体"/>
          <w:sz w:val="24"/>
          <w:highlight w:val="none"/>
        </w:rPr>
        <w:t>, 每次扣款2000元/次，月度扣款不影响年度的考核扣款。</w:t>
      </w:r>
    </w:p>
    <w:p w14:paraId="50B929F1">
      <w:pPr>
        <w:spacing w:line="360" w:lineRule="auto"/>
        <w:rPr>
          <w:rFonts w:hAnsi="宋体"/>
          <w:spacing w:val="10"/>
          <w:sz w:val="24"/>
          <w:highlight w:val="none"/>
        </w:rPr>
      </w:pPr>
      <w:r>
        <w:rPr>
          <w:rFonts w:hint="eastAsia" w:hAnsi="宋体"/>
          <w:spacing w:val="10"/>
          <w:sz w:val="24"/>
          <w:highlight w:val="none"/>
        </w:rPr>
        <w:t>8.1.3对于</w:t>
      </w:r>
      <w:r>
        <w:rPr>
          <w:rFonts w:hAnsi="宋体"/>
          <w:spacing w:val="10"/>
          <w:sz w:val="24"/>
          <w:highlight w:val="none"/>
        </w:rPr>
        <w:t>甲方送检的分析样品及校验仪表</w:t>
      </w:r>
      <w:r>
        <w:rPr>
          <w:rFonts w:hint="eastAsia" w:hAnsi="宋体"/>
          <w:spacing w:val="10"/>
          <w:sz w:val="24"/>
          <w:highlight w:val="none"/>
        </w:rPr>
        <w:t>未能进行检测并未及时告知，造成甲方工作被动，</w:t>
      </w:r>
      <w:r>
        <w:rPr>
          <w:rFonts w:hint="eastAsia" w:ascii="宋体" w:hAnsi="宋体"/>
          <w:sz w:val="24"/>
          <w:highlight w:val="none"/>
        </w:rPr>
        <w:t>每次扣款2000元/次,月度扣款不影响年度的考核扣款。</w:t>
      </w:r>
    </w:p>
    <w:p w14:paraId="40A37980">
      <w:pPr>
        <w:spacing w:line="360" w:lineRule="auto"/>
        <w:rPr>
          <w:rFonts w:hAnsi="宋体"/>
          <w:spacing w:val="10"/>
          <w:sz w:val="24"/>
          <w:highlight w:val="none"/>
        </w:rPr>
      </w:pPr>
      <w:r>
        <w:rPr>
          <w:rFonts w:hAnsi="宋体"/>
          <w:spacing w:val="10"/>
          <w:sz w:val="24"/>
          <w:highlight w:val="none"/>
        </w:rPr>
        <w:t>8.1.</w:t>
      </w:r>
      <w:r>
        <w:rPr>
          <w:rFonts w:hint="eastAsia" w:hAnsi="宋体"/>
          <w:spacing w:val="10"/>
          <w:sz w:val="24"/>
          <w:highlight w:val="none"/>
        </w:rPr>
        <w:t>4</w:t>
      </w:r>
      <w:r>
        <w:rPr>
          <w:rFonts w:hAnsi="宋体"/>
          <w:spacing w:val="10"/>
          <w:sz w:val="24"/>
          <w:highlight w:val="none"/>
        </w:rPr>
        <w:t>乙方接到</w:t>
      </w:r>
      <w:r>
        <w:rPr>
          <w:rFonts w:hint="eastAsia" w:hAnsi="宋体"/>
          <w:spacing w:val="10"/>
          <w:sz w:val="24"/>
          <w:highlight w:val="none"/>
        </w:rPr>
        <w:t>甲方要求现场服务</w:t>
      </w:r>
      <w:r>
        <w:rPr>
          <w:rFonts w:hAnsi="宋体"/>
          <w:spacing w:val="10"/>
          <w:sz w:val="24"/>
          <w:highlight w:val="none"/>
        </w:rPr>
        <w:t>通知后</w:t>
      </w:r>
      <w:r>
        <w:rPr>
          <w:rFonts w:hint="eastAsia" w:hAnsi="宋体"/>
          <w:spacing w:val="10"/>
          <w:sz w:val="24"/>
          <w:highlight w:val="none"/>
        </w:rPr>
        <w:t>，应在第</w:t>
      </w:r>
      <w:r>
        <w:rPr>
          <w:spacing w:val="10"/>
          <w:sz w:val="24"/>
          <w:highlight w:val="none"/>
        </w:rPr>
        <w:t>3.</w:t>
      </w:r>
      <w:r>
        <w:rPr>
          <w:rFonts w:hint="eastAsia"/>
          <w:spacing w:val="10"/>
          <w:sz w:val="24"/>
          <w:highlight w:val="none"/>
        </w:rPr>
        <w:t>4条款规定的时间内</w:t>
      </w:r>
      <w:r>
        <w:rPr>
          <w:rFonts w:hAnsi="宋体"/>
          <w:spacing w:val="10"/>
          <w:sz w:val="24"/>
          <w:highlight w:val="none"/>
        </w:rPr>
        <w:t>赶到现场服务，乙方延迟到达，</w:t>
      </w:r>
      <w:r>
        <w:rPr>
          <w:rFonts w:hint="eastAsia" w:ascii="宋体" w:hAnsi="宋体"/>
          <w:sz w:val="24"/>
          <w:highlight w:val="none"/>
        </w:rPr>
        <w:t>每次扣款2000元/次,全年达到2次及以上, 每次追加扣款5000元/次,月度扣款不影响年度的考核扣款。</w:t>
      </w:r>
    </w:p>
    <w:p w14:paraId="777D72E5">
      <w:pPr>
        <w:spacing w:line="360" w:lineRule="auto"/>
        <w:rPr>
          <w:rFonts w:hAnsi="宋体"/>
          <w:spacing w:val="10"/>
          <w:sz w:val="24"/>
          <w:highlight w:val="none"/>
        </w:rPr>
      </w:pPr>
      <w:r>
        <w:rPr>
          <w:rFonts w:hAnsi="宋体"/>
          <w:spacing w:val="10"/>
          <w:sz w:val="24"/>
          <w:highlight w:val="none"/>
        </w:rPr>
        <w:t>8.1.</w:t>
      </w:r>
      <w:r>
        <w:rPr>
          <w:rFonts w:hint="eastAsia" w:hAnsi="宋体"/>
          <w:spacing w:val="10"/>
          <w:sz w:val="24"/>
          <w:highlight w:val="none"/>
        </w:rPr>
        <w:t xml:space="preserve">5 </w:t>
      </w:r>
      <w:r>
        <w:rPr>
          <w:rFonts w:hAnsi="宋体"/>
          <w:spacing w:val="10"/>
          <w:sz w:val="24"/>
          <w:highlight w:val="none"/>
        </w:rPr>
        <w:t>甲方采纳乙方方案造成甲方直接经济损失，经分析确系乙方责任或乙方技术监</w:t>
      </w:r>
      <w:r>
        <w:rPr>
          <w:rFonts w:hint="eastAsia" w:hAnsi="宋体"/>
          <w:spacing w:val="10"/>
          <w:sz w:val="24"/>
          <w:highlight w:val="none"/>
        </w:rPr>
        <w:t>控</w:t>
      </w:r>
      <w:r>
        <w:rPr>
          <w:rFonts w:hAnsi="宋体"/>
          <w:spacing w:val="10"/>
          <w:sz w:val="24"/>
          <w:highlight w:val="none"/>
        </w:rPr>
        <w:t>不力，造成甲方直接经济损失由乙方承担。</w:t>
      </w:r>
    </w:p>
    <w:p w14:paraId="0A5C54B1">
      <w:pPr>
        <w:spacing w:line="360" w:lineRule="auto"/>
        <w:rPr>
          <w:rFonts w:hAnsi="宋体"/>
          <w:spacing w:val="10"/>
          <w:sz w:val="24"/>
          <w:highlight w:val="none"/>
        </w:rPr>
      </w:pPr>
      <w:r>
        <w:rPr>
          <w:rFonts w:hAnsi="宋体"/>
          <w:spacing w:val="10"/>
          <w:sz w:val="24"/>
          <w:highlight w:val="none"/>
        </w:rPr>
        <w:t>8.1.</w:t>
      </w:r>
      <w:r>
        <w:rPr>
          <w:rFonts w:hint="eastAsia" w:hAnsi="宋体"/>
          <w:spacing w:val="10"/>
          <w:sz w:val="24"/>
          <w:highlight w:val="none"/>
        </w:rPr>
        <w:t>6</w:t>
      </w:r>
      <w:r>
        <w:rPr>
          <w:rFonts w:hAnsi="宋体"/>
          <w:spacing w:val="10"/>
          <w:sz w:val="24"/>
          <w:highlight w:val="none"/>
        </w:rPr>
        <w:t xml:space="preserve"> 以上由于乙方责任赔偿甲方的总金额不超过</w:t>
      </w:r>
      <w:r>
        <w:rPr>
          <w:rFonts w:hint="eastAsia" w:hAnsi="宋体"/>
          <w:spacing w:val="10"/>
          <w:sz w:val="24"/>
          <w:highlight w:val="none"/>
        </w:rPr>
        <w:t>本</w:t>
      </w:r>
      <w:r>
        <w:rPr>
          <w:rFonts w:hAnsi="宋体"/>
          <w:spacing w:val="10"/>
          <w:sz w:val="24"/>
          <w:highlight w:val="none"/>
        </w:rPr>
        <w:t>合同金额的10％。</w:t>
      </w:r>
    </w:p>
    <w:p w14:paraId="4A53895A">
      <w:pPr>
        <w:spacing w:line="360" w:lineRule="auto"/>
        <w:rPr>
          <w:rFonts w:hAnsi="宋体"/>
          <w:spacing w:val="10"/>
          <w:sz w:val="24"/>
          <w:highlight w:val="none"/>
        </w:rPr>
      </w:pPr>
      <w:r>
        <w:rPr>
          <w:rFonts w:hAnsi="宋体"/>
          <w:spacing w:val="10"/>
          <w:sz w:val="24"/>
          <w:highlight w:val="none"/>
        </w:rPr>
        <w:t>8.2 甲方违约责任</w:t>
      </w:r>
    </w:p>
    <w:p w14:paraId="1AB35645">
      <w:pPr>
        <w:spacing w:line="360" w:lineRule="auto"/>
        <w:rPr>
          <w:rFonts w:hAnsi="宋体"/>
          <w:spacing w:val="10"/>
          <w:sz w:val="24"/>
          <w:highlight w:val="none"/>
        </w:rPr>
      </w:pPr>
      <w:r>
        <w:rPr>
          <w:rFonts w:hAnsi="宋体"/>
          <w:spacing w:val="10"/>
          <w:sz w:val="24"/>
          <w:highlight w:val="none"/>
        </w:rPr>
        <w:t>8.2.1甲方迟延支付合同费用，每延迟一个月，向乙方支付数额为合同金额总额0.</w:t>
      </w:r>
      <w:r>
        <w:rPr>
          <w:rFonts w:hint="eastAsia" w:hAnsi="宋体"/>
          <w:spacing w:val="10"/>
          <w:sz w:val="24"/>
          <w:highlight w:val="none"/>
        </w:rPr>
        <w:t>3</w:t>
      </w:r>
      <w:r>
        <w:rPr>
          <w:rFonts w:hAnsi="宋体"/>
          <w:spacing w:val="10"/>
          <w:sz w:val="24"/>
          <w:highlight w:val="none"/>
        </w:rPr>
        <w:t>％的滞纳金</w:t>
      </w:r>
      <w:r>
        <w:rPr>
          <w:rFonts w:hint="eastAsia" w:hAnsi="宋体"/>
          <w:spacing w:val="10"/>
          <w:sz w:val="24"/>
          <w:highlight w:val="none"/>
        </w:rPr>
        <w:t>，最高滞纳金不超过本合同金额的10%。</w:t>
      </w:r>
    </w:p>
    <w:p w14:paraId="57E5632C">
      <w:pPr>
        <w:pStyle w:val="3"/>
        <w:spacing w:beforeLines="50" w:afterLines="50"/>
        <w:rPr>
          <w:rFonts w:ascii="Times New Roman" w:hAnsi="Times New Roman"/>
          <w:highlight w:val="none"/>
        </w:rPr>
      </w:pPr>
      <w:r>
        <w:rPr>
          <w:rFonts w:hint="eastAsia" w:ascii="Times New Roman" w:hAnsi="Times New Roman"/>
          <w:highlight w:val="none"/>
        </w:rPr>
        <w:t>9</w:t>
      </w:r>
      <w:r>
        <w:rPr>
          <w:rFonts w:ascii="Times New Roman"/>
          <w:highlight w:val="none"/>
        </w:rPr>
        <w:t>税费</w:t>
      </w:r>
    </w:p>
    <w:p w14:paraId="04D95AE1">
      <w:pPr>
        <w:spacing w:line="360" w:lineRule="auto"/>
        <w:ind w:firstLine="520" w:firstLineChars="200"/>
        <w:rPr>
          <w:rFonts w:hAnsi="宋体"/>
          <w:spacing w:val="10"/>
          <w:sz w:val="24"/>
          <w:highlight w:val="none"/>
        </w:rPr>
      </w:pPr>
      <w:r>
        <w:rPr>
          <w:rFonts w:hAnsi="宋体"/>
          <w:spacing w:val="10"/>
          <w:sz w:val="24"/>
          <w:highlight w:val="none"/>
        </w:rPr>
        <w:t>根据国家有关税务的法律、法规和规定，甲乙双方应该交纳与本合同各自职责相关的税费。</w:t>
      </w:r>
      <w:r>
        <w:rPr>
          <w:rFonts w:hint="eastAsia" w:hAnsi="宋体"/>
          <w:spacing w:val="10"/>
          <w:sz w:val="24"/>
          <w:highlight w:val="none"/>
        </w:rPr>
        <w:t>若乙方实际开具增值税专用发票税率与合同签订时约定的税率不符，税差相应调整，但以下情况除外：合同签订阶段时，乙方为小规模纳税人，在后续执行过程中变更为一般纳税人；或者合同签订阶段时，乙方享受国家减税优惠政策的，在后续执行过程中优惠政策取消。因前述2项情况开具高于合同约定的税率而产生的税差由乙方自行承担，甲方不予补偿。</w:t>
      </w:r>
    </w:p>
    <w:p w14:paraId="534C2B09">
      <w:pPr>
        <w:pStyle w:val="3"/>
        <w:spacing w:beforeLines="50" w:afterLines="50"/>
        <w:rPr>
          <w:rFonts w:ascii="Times New Roman" w:hAnsi="Times New Roman"/>
          <w:highlight w:val="none"/>
        </w:rPr>
      </w:pPr>
      <w:r>
        <w:rPr>
          <w:rFonts w:hint="eastAsia" w:ascii="Times New Roman" w:hAnsi="Times New Roman"/>
          <w:highlight w:val="none"/>
        </w:rPr>
        <w:t>10</w:t>
      </w:r>
      <w:r>
        <w:rPr>
          <w:rFonts w:ascii="Times New Roman"/>
          <w:highlight w:val="none"/>
        </w:rPr>
        <w:t>分包</w:t>
      </w:r>
    </w:p>
    <w:p w14:paraId="3808B03D">
      <w:pPr>
        <w:spacing w:line="360" w:lineRule="auto"/>
        <w:rPr>
          <w:rFonts w:hAnsi="宋体"/>
          <w:spacing w:val="10"/>
          <w:sz w:val="24"/>
          <w:highlight w:val="none"/>
        </w:rPr>
      </w:pPr>
      <w:r>
        <w:rPr>
          <w:rFonts w:hint="eastAsia" w:hAnsi="宋体"/>
          <w:spacing w:val="10"/>
          <w:sz w:val="24"/>
          <w:highlight w:val="none"/>
        </w:rPr>
        <w:t>10</w:t>
      </w:r>
      <w:r>
        <w:rPr>
          <w:rFonts w:hAnsi="宋体"/>
          <w:spacing w:val="10"/>
          <w:sz w:val="24"/>
          <w:highlight w:val="none"/>
        </w:rPr>
        <w:t>.1乙方未经甲方同意不得将本合同范围内的技术</w:t>
      </w:r>
      <w:r>
        <w:rPr>
          <w:rFonts w:hint="eastAsia" w:hAnsi="宋体"/>
          <w:spacing w:val="10"/>
          <w:sz w:val="24"/>
          <w:highlight w:val="none"/>
        </w:rPr>
        <w:t>服务项目</w:t>
      </w:r>
      <w:r>
        <w:rPr>
          <w:rFonts w:hAnsi="宋体"/>
          <w:spacing w:val="10"/>
          <w:sz w:val="24"/>
          <w:highlight w:val="none"/>
        </w:rPr>
        <w:t>进行分包。</w:t>
      </w:r>
    </w:p>
    <w:p w14:paraId="5FF7EC4D">
      <w:pPr>
        <w:spacing w:line="360" w:lineRule="auto"/>
        <w:rPr>
          <w:rFonts w:hAnsi="宋体"/>
          <w:spacing w:val="10"/>
          <w:sz w:val="24"/>
          <w:highlight w:val="none"/>
        </w:rPr>
      </w:pPr>
      <w:r>
        <w:rPr>
          <w:rFonts w:hint="eastAsia" w:hAnsi="宋体"/>
          <w:spacing w:val="10"/>
          <w:sz w:val="24"/>
          <w:highlight w:val="none"/>
        </w:rPr>
        <w:t>10</w:t>
      </w:r>
      <w:r>
        <w:rPr>
          <w:rFonts w:hAnsi="宋体"/>
          <w:spacing w:val="10"/>
          <w:sz w:val="24"/>
          <w:highlight w:val="none"/>
        </w:rPr>
        <w:t>.2如需分包，乙方将需分包的本合同范围内的技术管理内容和比例提交甲方同意后，将此部分的分包单位预选名单、分包商资质材料，提交给甲方。甲方收到乙方提交的分包商文件后1个月内进行审查，审查同意后，以书面形式予以答复。乙方须在甲方同意的分包单位名单中选定分包商，并以书面形式正式通知甲方。</w:t>
      </w:r>
    </w:p>
    <w:p w14:paraId="15EF9BE6">
      <w:pPr>
        <w:spacing w:line="360" w:lineRule="auto"/>
        <w:rPr>
          <w:rFonts w:hAnsi="宋体"/>
          <w:spacing w:val="10"/>
          <w:sz w:val="24"/>
          <w:highlight w:val="none"/>
        </w:rPr>
      </w:pPr>
    </w:p>
    <w:p w14:paraId="37B29C97">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1</w:t>
      </w:r>
      <w:r>
        <w:rPr>
          <w:rFonts w:ascii="Times New Roman"/>
          <w:highlight w:val="none"/>
        </w:rPr>
        <w:t>合同的变更、修改、中止</w:t>
      </w:r>
    </w:p>
    <w:p w14:paraId="770D3EFA">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1</w:t>
      </w:r>
      <w:r>
        <w:rPr>
          <w:rFonts w:hAnsi="宋体"/>
          <w:spacing w:val="10"/>
          <w:sz w:val="24"/>
          <w:highlight w:val="none"/>
        </w:rPr>
        <w:t>.1本合同一经生效，合同双方均不得擅自对本合同的内容（包括附件）作任何单方的修改。但任何一方均可以对合同内容以书面形式提出变更、修改、取消或补充的建议。该项建议应以书面形式通知对方并经双方签字确认。双方同意后经双方法定代表人或委托代理人（须经法定代表人书面授权委托）签字后生效。</w:t>
      </w:r>
    </w:p>
    <w:p w14:paraId="2B8D35EC">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1</w:t>
      </w:r>
      <w:r>
        <w:rPr>
          <w:rFonts w:hAnsi="宋体"/>
          <w:spacing w:val="10"/>
          <w:sz w:val="24"/>
          <w:highlight w:val="none"/>
        </w:rPr>
        <w:t>.2 如果乙方有违反或拒绝执行本合同规定的行为时，甲方将用书面通知乙方，乙方在接到通知后15天内确认无误后应对违反或拒绝</w:t>
      </w:r>
      <w:r>
        <w:rPr>
          <w:rFonts w:hint="eastAsia" w:hAnsi="宋体"/>
          <w:spacing w:val="10"/>
          <w:sz w:val="24"/>
          <w:highlight w:val="none"/>
        </w:rPr>
        <w:t>进行</w:t>
      </w:r>
      <w:r>
        <w:rPr>
          <w:rFonts w:hAnsi="宋体"/>
          <w:spacing w:val="10"/>
          <w:sz w:val="24"/>
          <w:highlight w:val="none"/>
        </w:rPr>
        <w:t>修正，如果认为在15天内来不及纠正时，应提出修正计划。如果得不到纠正或提不出修正计划，甲方将保留中止本合同的一部分或全部的权利。对于这种中止，甲方将不出具变更通知书，由此而发生的一切费用、损失和索赔将由乙方负担。如果乙方的违约行为本合同其它条款有明确规定，则按有关条款处理。</w:t>
      </w:r>
    </w:p>
    <w:p w14:paraId="6C442E2B">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1</w:t>
      </w:r>
      <w:r>
        <w:rPr>
          <w:rFonts w:hAnsi="宋体"/>
          <w:spacing w:val="10"/>
          <w:sz w:val="24"/>
          <w:highlight w:val="none"/>
        </w:rPr>
        <w:t>.3 如果甲方行使中止权利，甲方有权停付到期应向乙方支付中止部分的款项。</w:t>
      </w:r>
    </w:p>
    <w:p w14:paraId="68E7E8D6">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 xml:space="preserve">2 </w:t>
      </w:r>
      <w:r>
        <w:rPr>
          <w:rFonts w:ascii="Times New Roman"/>
          <w:highlight w:val="none"/>
        </w:rPr>
        <w:t>合同争议的解决</w:t>
      </w:r>
    </w:p>
    <w:p w14:paraId="16A5B26B">
      <w:pPr>
        <w:spacing w:line="360" w:lineRule="auto"/>
        <w:ind w:firstLine="260" w:firstLineChars="100"/>
        <w:rPr>
          <w:rFonts w:hAnsi="宋体"/>
          <w:spacing w:val="10"/>
          <w:sz w:val="24"/>
          <w:highlight w:val="none"/>
        </w:rPr>
      </w:pPr>
      <w:r>
        <w:rPr>
          <w:rFonts w:hAnsi="宋体"/>
          <w:spacing w:val="10"/>
          <w:sz w:val="24"/>
          <w:highlight w:val="none"/>
        </w:rPr>
        <w:t xml:space="preserve"> 凡与本合同有关而引起的一切争议，双方应首先通过友好协商解决，如经协商后仍不能达成协议时，则提交双方上级主管部门调解。如仍不能解决，</w:t>
      </w:r>
      <w:r>
        <w:rPr>
          <w:rFonts w:hint="eastAsia" w:hAnsi="宋体"/>
          <w:spacing w:val="10"/>
          <w:sz w:val="24"/>
          <w:highlight w:val="none"/>
        </w:rPr>
        <w:t>通过</w:t>
      </w:r>
      <w:r>
        <w:rPr>
          <w:rFonts w:hint="eastAsia" w:hAnsi="宋体"/>
          <w:spacing w:val="10"/>
          <w:sz w:val="24"/>
          <w:highlight w:val="none"/>
          <w:lang w:val="en-US" w:eastAsia="zh-CN"/>
        </w:rPr>
        <w:t>阳朔县</w:t>
      </w:r>
      <w:r>
        <w:rPr>
          <w:rFonts w:hint="eastAsia" w:hAnsi="宋体"/>
          <w:spacing w:val="10"/>
          <w:sz w:val="24"/>
          <w:highlight w:val="none"/>
        </w:rPr>
        <w:t>当地法院诉讼解决。</w:t>
      </w:r>
    </w:p>
    <w:p w14:paraId="18A69CC3">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3</w:t>
      </w:r>
      <w:r>
        <w:rPr>
          <w:rFonts w:ascii="Times New Roman"/>
          <w:highlight w:val="none"/>
        </w:rPr>
        <w:t>合同生效</w:t>
      </w:r>
    </w:p>
    <w:p w14:paraId="54E739DA">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3</w:t>
      </w:r>
      <w:r>
        <w:rPr>
          <w:rFonts w:hAnsi="宋体"/>
          <w:spacing w:val="10"/>
          <w:sz w:val="24"/>
          <w:highlight w:val="none"/>
        </w:rPr>
        <w:t>.1本合同生效需满足下列条件：</w:t>
      </w:r>
    </w:p>
    <w:p w14:paraId="1D2B51FF">
      <w:pPr>
        <w:spacing w:line="360" w:lineRule="auto"/>
        <w:ind w:firstLine="520" w:firstLineChars="200"/>
        <w:rPr>
          <w:rFonts w:hAnsi="宋体"/>
          <w:spacing w:val="10"/>
          <w:sz w:val="24"/>
          <w:highlight w:val="none"/>
        </w:rPr>
      </w:pPr>
      <w:r>
        <w:rPr>
          <w:rFonts w:hAnsi="宋体"/>
          <w:spacing w:val="10"/>
          <w:sz w:val="24"/>
          <w:highlight w:val="none"/>
        </w:rPr>
        <w:t>本合同经甲乙双方法定代表人或授权代表（须经法定代表人书面授权委托）正式签字盖章后即生效。</w:t>
      </w:r>
    </w:p>
    <w:p w14:paraId="0F773288">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3</w:t>
      </w:r>
      <w:r>
        <w:rPr>
          <w:rFonts w:hAnsi="宋体"/>
          <w:spacing w:val="10"/>
          <w:sz w:val="24"/>
          <w:highlight w:val="none"/>
        </w:rPr>
        <w:t>.2本合同履行期</w:t>
      </w:r>
      <w:r>
        <w:rPr>
          <w:rFonts w:hint="eastAsia" w:hAnsi="宋体"/>
          <w:spacing w:val="10"/>
          <w:sz w:val="24"/>
          <w:highlight w:val="none"/>
        </w:rPr>
        <w:t>一年</w:t>
      </w:r>
      <w:r>
        <w:rPr>
          <w:rFonts w:hint="eastAsia" w:hAnsi="宋体"/>
          <w:spacing w:val="10"/>
          <w:sz w:val="24"/>
          <w:highlight w:val="none"/>
          <w:lang w:eastAsia="zh-CN"/>
        </w:rPr>
        <w:t>（</w:t>
      </w:r>
      <w:r>
        <w:rPr>
          <w:rFonts w:hint="eastAsia" w:hAnsi="宋体"/>
          <w:spacing w:val="10"/>
          <w:sz w:val="24"/>
          <w:highlight w:val="green"/>
          <w:lang w:val="en-US" w:eastAsia="zh-CN"/>
        </w:rPr>
        <w:t>2026年  月  日至2027年  月  日</w:t>
      </w:r>
      <w:r>
        <w:rPr>
          <w:rFonts w:hint="eastAsia" w:hAnsi="宋体"/>
          <w:spacing w:val="10"/>
          <w:sz w:val="24"/>
          <w:highlight w:val="none"/>
          <w:lang w:eastAsia="zh-CN"/>
        </w:rPr>
        <w:t>）</w:t>
      </w:r>
      <w:r>
        <w:rPr>
          <w:rFonts w:hAnsi="宋体"/>
          <w:spacing w:val="10"/>
          <w:sz w:val="24"/>
          <w:highlight w:val="none"/>
        </w:rPr>
        <w:t>，合同有效期从合同生效之日到费用及赔偿支付完成后截止。</w:t>
      </w:r>
    </w:p>
    <w:p w14:paraId="72FAC50F">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 xml:space="preserve">4 </w:t>
      </w:r>
      <w:r>
        <w:rPr>
          <w:rFonts w:ascii="Times New Roman"/>
          <w:highlight w:val="none"/>
        </w:rPr>
        <w:t>不可抗力</w:t>
      </w:r>
    </w:p>
    <w:p w14:paraId="476617E3">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4</w:t>
      </w:r>
      <w:r>
        <w:rPr>
          <w:rFonts w:hAnsi="宋体"/>
          <w:spacing w:val="10"/>
          <w:sz w:val="24"/>
          <w:highlight w:val="none"/>
        </w:rPr>
        <w:t>.1 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14:paraId="1140F6DC">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4</w:t>
      </w:r>
      <w:r>
        <w:rPr>
          <w:rFonts w:hAnsi="宋体"/>
          <w:spacing w:val="10"/>
          <w:sz w:val="24"/>
          <w:highlight w:val="none"/>
        </w:rPr>
        <w:t>.2 受到不可抗力影响的一方应在不可抗力事故发生后，尽快将所发生的不可抗力事件的情况以传真通知另一方，并在15天内将有关当局出具的证明文件提交给另一方审阅确认，受影响的一方同时应尽量设法缩小这种影响和由此而引起的延误，一旦不可抗力的影响消除后，应将此情况立即通知对方。</w:t>
      </w:r>
    </w:p>
    <w:p w14:paraId="199F2671">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4</w:t>
      </w:r>
      <w:r>
        <w:rPr>
          <w:rFonts w:hAnsi="宋体"/>
          <w:spacing w:val="10"/>
          <w:sz w:val="24"/>
          <w:highlight w:val="none"/>
        </w:rPr>
        <w:t>.3 如双方对不可抗力事件的影响估计将延续到120天以上时，双方应通过友好协商解决本合同的执行问题。</w:t>
      </w:r>
    </w:p>
    <w:p w14:paraId="48981C12">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5</w:t>
      </w:r>
      <w:r>
        <w:rPr>
          <w:rFonts w:ascii="Times New Roman"/>
          <w:highlight w:val="none"/>
        </w:rPr>
        <w:t>专利权</w:t>
      </w:r>
    </w:p>
    <w:p w14:paraId="2A7F3003">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5</w:t>
      </w:r>
      <w:r>
        <w:rPr>
          <w:rFonts w:hAnsi="宋体"/>
          <w:spacing w:val="10"/>
          <w:sz w:val="24"/>
          <w:highlight w:val="none"/>
        </w:rPr>
        <w:t>.1 合同双方应分别为对方在合同履行过程中涉及的商业和技术等秘密保密，违者应对由此造成的后果承担责任。</w:t>
      </w:r>
    </w:p>
    <w:p w14:paraId="3AB88154">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5</w:t>
      </w:r>
      <w:r>
        <w:rPr>
          <w:rFonts w:hAnsi="宋体"/>
          <w:spacing w:val="10"/>
          <w:sz w:val="24"/>
          <w:highlight w:val="none"/>
        </w:rPr>
        <w:t>.2 乙方应保证甲方在中国范围内使用其服务及其任何部分不受到第三方关于侵犯专利权或其它知识产权的起诉。任何第三方如果提出起诉，乙方须与第三方交涉并承担由此而引起的一切法律责任和费用。</w:t>
      </w:r>
    </w:p>
    <w:p w14:paraId="17D9CB80">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6</w:t>
      </w:r>
      <w:r>
        <w:rPr>
          <w:rFonts w:ascii="Times New Roman"/>
          <w:highlight w:val="none"/>
        </w:rPr>
        <w:t>保险</w:t>
      </w:r>
    </w:p>
    <w:p w14:paraId="55DCBE24">
      <w:pPr>
        <w:spacing w:line="360" w:lineRule="auto"/>
        <w:ind w:firstLine="520" w:firstLineChars="200"/>
        <w:rPr>
          <w:rFonts w:hAnsi="宋体"/>
          <w:spacing w:val="10"/>
          <w:sz w:val="24"/>
          <w:highlight w:val="none"/>
        </w:rPr>
      </w:pPr>
      <w:r>
        <w:rPr>
          <w:rFonts w:hAnsi="宋体"/>
          <w:spacing w:val="10"/>
          <w:sz w:val="24"/>
          <w:highlight w:val="none"/>
        </w:rPr>
        <w:t>乙方须对本合同项目的服务人员的技术</w:t>
      </w:r>
      <w:r>
        <w:rPr>
          <w:rFonts w:hint="eastAsia" w:hAnsi="宋体"/>
          <w:spacing w:val="10"/>
          <w:sz w:val="24"/>
          <w:highlight w:val="none"/>
        </w:rPr>
        <w:t>服务</w:t>
      </w:r>
      <w:r>
        <w:rPr>
          <w:rFonts w:hAnsi="宋体"/>
          <w:spacing w:val="10"/>
          <w:sz w:val="24"/>
          <w:highlight w:val="none"/>
        </w:rPr>
        <w:t>工作，向保险公司以乙方为受益人投保相应的保险。</w:t>
      </w:r>
    </w:p>
    <w:p w14:paraId="6C26D6D8">
      <w:pPr>
        <w:pStyle w:val="3"/>
        <w:spacing w:beforeLines="50" w:afterLines="50"/>
        <w:rPr>
          <w:rFonts w:ascii="Times New Roman" w:hAnsi="Times New Roman"/>
          <w:highlight w:val="none"/>
        </w:rPr>
      </w:pPr>
      <w:r>
        <w:rPr>
          <w:rFonts w:ascii="Times New Roman" w:hAnsi="Times New Roman"/>
          <w:highlight w:val="none"/>
        </w:rPr>
        <w:t>1</w:t>
      </w:r>
      <w:r>
        <w:rPr>
          <w:rFonts w:hint="eastAsia" w:ascii="Times New Roman" w:hAnsi="Times New Roman"/>
          <w:highlight w:val="none"/>
        </w:rPr>
        <w:t>7</w:t>
      </w:r>
      <w:r>
        <w:rPr>
          <w:rFonts w:ascii="Times New Roman"/>
          <w:highlight w:val="none"/>
        </w:rPr>
        <w:t>其它</w:t>
      </w:r>
    </w:p>
    <w:p w14:paraId="57487ED8">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.1 本合同适用法律为中华人民共和国法律。</w:t>
      </w:r>
    </w:p>
    <w:p w14:paraId="1D9BDADC">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.2 本合同所包括的附件，是本合同不可分割的一部分，具有同等的法律效力。</w:t>
      </w:r>
    </w:p>
    <w:p w14:paraId="1A7FDFF8">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.3 合同双方承担的合同义务都不得超过合同的规定，合同任何一方也不得对另一方作出有约束力的声明、陈述、许诺或行动。</w:t>
      </w:r>
    </w:p>
    <w:p w14:paraId="303A6B7B">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.4 双方任何一方未取得另一方事先同意前，不得将本合同项下的部分或全部权利或义务转让给第三方。</w:t>
      </w:r>
    </w:p>
    <w:p w14:paraId="32ABA285">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.5 本合同项下双方相互提供的文件、资料，双方除为履行合同的目的外，均不得提供给第三方。</w:t>
      </w:r>
    </w:p>
    <w:p w14:paraId="7895A5F0">
      <w:pPr>
        <w:spacing w:line="360" w:lineRule="auto"/>
        <w:rPr>
          <w:rFonts w:hAnsi="宋体"/>
          <w:spacing w:val="10"/>
          <w:sz w:val="24"/>
          <w:highlight w:val="none"/>
        </w:rPr>
      </w:pPr>
      <w:r>
        <w:rPr>
          <w:rFonts w:hAnsi="宋体"/>
          <w:spacing w:val="10"/>
          <w:sz w:val="24"/>
          <w:highlight w:val="none"/>
        </w:rPr>
        <w:t>1</w:t>
      </w:r>
      <w:r>
        <w:rPr>
          <w:rFonts w:hint="eastAsia" w:hAnsi="宋体"/>
          <w:spacing w:val="10"/>
          <w:sz w:val="24"/>
          <w:highlight w:val="none"/>
        </w:rPr>
        <w:t>7</w:t>
      </w:r>
      <w:r>
        <w:rPr>
          <w:rFonts w:hAnsi="宋体"/>
          <w:spacing w:val="10"/>
          <w:sz w:val="24"/>
          <w:highlight w:val="none"/>
        </w:rPr>
        <w:t>.6本合同一式</w:t>
      </w:r>
      <w:r>
        <w:rPr>
          <w:rFonts w:hint="eastAsia" w:hAnsi="宋体"/>
          <w:spacing w:val="10"/>
          <w:sz w:val="24"/>
          <w:highlight w:val="none"/>
        </w:rPr>
        <w:t>六</w:t>
      </w:r>
      <w:r>
        <w:rPr>
          <w:rFonts w:hAnsi="宋体"/>
          <w:spacing w:val="10"/>
          <w:sz w:val="24"/>
          <w:highlight w:val="none"/>
        </w:rPr>
        <w:t>份，甲乙</w:t>
      </w:r>
      <w:r>
        <w:rPr>
          <w:rFonts w:hint="eastAsia" w:hAnsi="宋体"/>
          <w:spacing w:val="10"/>
          <w:sz w:val="24"/>
          <w:highlight w:val="none"/>
        </w:rPr>
        <w:t>双</w:t>
      </w:r>
      <w:r>
        <w:rPr>
          <w:rFonts w:hAnsi="宋体"/>
          <w:spacing w:val="10"/>
          <w:sz w:val="24"/>
          <w:highlight w:val="none"/>
        </w:rPr>
        <w:t>方</w:t>
      </w:r>
      <w:r>
        <w:rPr>
          <w:rFonts w:hint="eastAsia" w:hAnsi="宋体"/>
          <w:spacing w:val="10"/>
          <w:sz w:val="24"/>
          <w:highlight w:val="none"/>
        </w:rPr>
        <w:t>各</w:t>
      </w:r>
      <w:r>
        <w:rPr>
          <w:rFonts w:hAnsi="宋体"/>
          <w:spacing w:val="10"/>
          <w:sz w:val="24"/>
          <w:highlight w:val="none"/>
        </w:rPr>
        <w:t>执</w:t>
      </w:r>
      <w:r>
        <w:rPr>
          <w:rFonts w:hint="eastAsia" w:hAnsi="宋体"/>
          <w:spacing w:val="10"/>
          <w:sz w:val="24"/>
          <w:highlight w:val="none"/>
        </w:rPr>
        <w:t>三</w:t>
      </w:r>
      <w:r>
        <w:rPr>
          <w:rFonts w:hAnsi="宋体"/>
          <w:spacing w:val="10"/>
          <w:sz w:val="24"/>
          <w:highlight w:val="none"/>
        </w:rPr>
        <w:t>份。</w:t>
      </w:r>
    </w:p>
    <w:p w14:paraId="5EDB6751">
      <w:pPr>
        <w:spacing w:line="360" w:lineRule="auto"/>
        <w:rPr>
          <w:rFonts w:hAnsi="宋体"/>
          <w:spacing w:val="10"/>
          <w:sz w:val="24"/>
          <w:highlight w:val="none"/>
        </w:rPr>
      </w:pPr>
      <w:r>
        <w:rPr>
          <w:rFonts w:hint="eastAsia" w:hAnsi="宋体"/>
          <w:spacing w:val="10"/>
          <w:sz w:val="24"/>
          <w:highlight w:val="none"/>
        </w:rPr>
        <w:t>17.7合同附件：</w:t>
      </w:r>
    </w:p>
    <w:p w14:paraId="2CBCFF39">
      <w:pPr>
        <w:spacing w:line="360" w:lineRule="auto"/>
        <w:jc w:val="left"/>
        <w:rPr>
          <w:rFonts w:hAnsi="宋体"/>
          <w:spacing w:val="10"/>
          <w:sz w:val="24"/>
          <w:highlight w:val="none"/>
        </w:rPr>
      </w:pPr>
      <w:r>
        <w:rPr>
          <w:rFonts w:hint="eastAsia" w:hAnsi="宋体"/>
          <w:spacing w:val="10"/>
          <w:sz w:val="24"/>
          <w:highlight w:val="none"/>
        </w:rPr>
        <w:t>附件一《阳朔县深能环保有限公司</w:t>
      </w:r>
      <w:r>
        <w:rPr>
          <w:rFonts w:hint="eastAsia" w:hAnsi="宋体"/>
          <w:spacing w:val="10"/>
          <w:sz w:val="24"/>
          <w:highlight w:val="none"/>
          <w:lang w:val="en-US" w:eastAsia="zh-CN"/>
        </w:rPr>
        <w:t>2026</w:t>
      </w:r>
      <w:r>
        <w:rPr>
          <w:rFonts w:hint="eastAsia" w:hAnsi="宋体"/>
          <w:spacing w:val="10"/>
          <w:sz w:val="24"/>
          <w:highlight w:val="none"/>
        </w:rPr>
        <w:t>年技术监督咨询技术协议》</w:t>
      </w:r>
    </w:p>
    <w:p w14:paraId="3EFB20AD">
      <w:pPr>
        <w:spacing w:line="360" w:lineRule="auto"/>
        <w:jc w:val="left"/>
        <w:rPr>
          <w:rFonts w:hAnsi="宋体"/>
          <w:spacing w:val="10"/>
          <w:sz w:val="24"/>
          <w:highlight w:val="none"/>
        </w:rPr>
      </w:pPr>
      <w:r>
        <w:rPr>
          <w:rFonts w:hint="eastAsia" w:hAnsi="宋体"/>
          <w:spacing w:val="10"/>
          <w:sz w:val="24"/>
          <w:highlight w:val="none"/>
        </w:rPr>
        <w:t>附件二《安健环协议》</w:t>
      </w:r>
    </w:p>
    <w:p w14:paraId="5E08A62C">
      <w:pPr>
        <w:spacing w:line="360" w:lineRule="auto"/>
        <w:jc w:val="left"/>
        <w:rPr>
          <w:sz w:val="28"/>
          <w:szCs w:val="28"/>
          <w:highlight w:val="none"/>
        </w:rPr>
      </w:pPr>
    </w:p>
    <w:tbl>
      <w:tblPr>
        <w:tblStyle w:val="27"/>
        <w:tblpPr w:leftFromText="180" w:rightFromText="180" w:vertAnchor="text" w:horzAnchor="page" w:tblpX="1400" w:tblpY="284"/>
        <w:tblW w:w="9325"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368"/>
        <w:gridCol w:w="3240"/>
        <w:gridCol w:w="1142"/>
        <w:gridCol w:w="3575"/>
      </w:tblGrid>
      <w:tr w14:paraId="01C181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2" w:hRule="atLeast"/>
        </w:trPr>
        <w:tc>
          <w:tcPr>
            <w:tcW w:w="1368" w:type="dxa"/>
            <w:tcBorders>
              <w:top w:val="single" w:color="auto" w:sz="12" w:space="0"/>
              <w:left w:val="single" w:color="auto" w:sz="12" w:space="0"/>
              <w:bottom w:val="single" w:color="auto" w:sz="4" w:space="0"/>
              <w:right w:val="single" w:color="auto" w:sz="4" w:space="0"/>
            </w:tcBorders>
            <w:vAlign w:val="center"/>
          </w:tcPr>
          <w:p w14:paraId="45120BDE">
            <w:pPr>
              <w:rPr>
                <w:rFonts w:hAnsi="宋体"/>
                <w:highlight w:val="none"/>
              </w:rPr>
            </w:pPr>
            <w:r>
              <w:rPr>
                <w:rFonts w:hint="eastAsia" w:hAnsi="宋体"/>
                <w:highlight w:val="none"/>
              </w:rPr>
              <w:t>单位名称</w:t>
            </w:r>
          </w:p>
        </w:tc>
        <w:tc>
          <w:tcPr>
            <w:tcW w:w="3240" w:type="dxa"/>
            <w:tcBorders>
              <w:top w:val="single" w:color="auto" w:sz="12" w:space="0"/>
              <w:left w:val="single" w:color="auto" w:sz="4" w:space="0"/>
              <w:bottom w:val="single" w:color="auto" w:sz="4" w:space="0"/>
            </w:tcBorders>
            <w:vAlign w:val="center"/>
          </w:tcPr>
          <w:p w14:paraId="377EF460">
            <w:pPr>
              <w:spacing w:line="360" w:lineRule="auto"/>
              <w:rPr>
                <w:rFonts w:hint="eastAsia" w:hAnsi="宋体" w:eastAsia="宋体"/>
                <w:highlight w:val="none"/>
                <w:lang w:eastAsia="zh-CN"/>
              </w:rPr>
            </w:pPr>
            <w:r>
              <w:rPr>
                <w:rFonts w:hint="eastAsia" w:hAnsi="宋体"/>
                <w:highlight w:val="none"/>
                <w:lang w:eastAsia="zh-CN"/>
              </w:rPr>
              <w:t>阳朔县深能环保有限公司</w:t>
            </w:r>
          </w:p>
        </w:tc>
        <w:tc>
          <w:tcPr>
            <w:tcW w:w="1142" w:type="dxa"/>
            <w:tcBorders>
              <w:top w:val="single" w:color="auto" w:sz="12" w:space="0"/>
              <w:bottom w:val="single" w:color="auto" w:sz="4" w:space="0"/>
            </w:tcBorders>
            <w:vAlign w:val="center"/>
          </w:tcPr>
          <w:p w14:paraId="19B61237">
            <w:pPr>
              <w:rPr>
                <w:rFonts w:hAnsi="宋体"/>
                <w:highlight w:val="none"/>
              </w:rPr>
            </w:pPr>
            <w:r>
              <w:rPr>
                <w:rFonts w:hint="eastAsia" w:hAnsi="宋体"/>
                <w:highlight w:val="none"/>
              </w:rPr>
              <w:t>单位名称</w:t>
            </w:r>
          </w:p>
        </w:tc>
        <w:tc>
          <w:tcPr>
            <w:tcW w:w="3575" w:type="dxa"/>
            <w:tcBorders>
              <w:top w:val="single" w:color="auto" w:sz="12" w:space="0"/>
              <w:bottom w:val="single" w:color="auto" w:sz="4" w:space="0"/>
              <w:right w:val="single" w:color="auto" w:sz="12" w:space="0"/>
            </w:tcBorders>
            <w:vAlign w:val="center"/>
          </w:tcPr>
          <w:p w14:paraId="2EF2C952">
            <w:pPr>
              <w:spacing w:line="360" w:lineRule="auto"/>
              <w:rPr>
                <w:rFonts w:hint="eastAsia" w:hAnsi="宋体" w:eastAsia="宋体"/>
                <w:highlight w:val="none"/>
                <w:lang w:eastAsia="zh-CN"/>
              </w:rPr>
            </w:pPr>
            <w:r>
              <w:rPr>
                <w:rFonts w:hint="eastAsia" w:hAnsi="宋体"/>
                <w:highlight w:val="none"/>
                <w:lang w:val="en-US" w:eastAsia="zh-CN"/>
              </w:rPr>
              <w:t>安徽新力电业高技术有限责任公司</w:t>
            </w:r>
          </w:p>
        </w:tc>
      </w:tr>
      <w:tr w14:paraId="6B694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1368" w:type="dxa"/>
            <w:tcBorders>
              <w:top w:val="single" w:color="auto" w:sz="4" w:space="0"/>
            </w:tcBorders>
          </w:tcPr>
          <w:p w14:paraId="0F629D52">
            <w:pPr>
              <w:rPr>
                <w:rFonts w:hAnsi="宋体"/>
                <w:highlight w:val="none"/>
              </w:rPr>
            </w:pPr>
            <w:r>
              <w:rPr>
                <w:rFonts w:hint="eastAsia" w:hAnsi="宋体"/>
                <w:highlight w:val="none"/>
              </w:rPr>
              <w:t>法定代表人签字或委托代理人签字</w:t>
            </w:r>
          </w:p>
        </w:tc>
        <w:tc>
          <w:tcPr>
            <w:tcW w:w="3240" w:type="dxa"/>
            <w:tcBorders>
              <w:top w:val="single" w:color="auto" w:sz="4" w:space="0"/>
            </w:tcBorders>
          </w:tcPr>
          <w:p w14:paraId="7038A95D">
            <w:pPr>
              <w:rPr>
                <w:rFonts w:hAnsi="宋体"/>
                <w:highlight w:val="none"/>
              </w:rPr>
            </w:pPr>
          </w:p>
        </w:tc>
        <w:tc>
          <w:tcPr>
            <w:tcW w:w="1142" w:type="dxa"/>
            <w:tcBorders>
              <w:top w:val="single" w:color="auto" w:sz="4" w:space="0"/>
            </w:tcBorders>
          </w:tcPr>
          <w:p w14:paraId="337BF1B8">
            <w:pPr>
              <w:rPr>
                <w:rFonts w:hAnsi="宋体"/>
                <w:highlight w:val="none"/>
              </w:rPr>
            </w:pPr>
            <w:r>
              <w:rPr>
                <w:rFonts w:hint="eastAsia" w:hAnsi="宋体"/>
                <w:highlight w:val="none"/>
              </w:rPr>
              <w:t>法定代表人签字或委托代理人签字</w:t>
            </w:r>
          </w:p>
        </w:tc>
        <w:tc>
          <w:tcPr>
            <w:tcW w:w="3575" w:type="dxa"/>
            <w:tcBorders>
              <w:top w:val="single" w:color="auto" w:sz="4" w:space="0"/>
            </w:tcBorders>
          </w:tcPr>
          <w:p w14:paraId="6FE7A1E3">
            <w:pPr>
              <w:rPr>
                <w:rFonts w:hAnsi="宋体"/>
                <w:highlight w:val="none"/>
              </w:rPr>
            </w:pPr>
          </w:p>
        </w:tc>
      </w:tr>
      <w:tr w14:paraId="075B02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tcBorders>
              <w:top w:val="nil"/>
            </w:tcBorders>
            <w:vAlign w:val="center"/>
          </w:tcPr>
          <w:p w14:paraId="6912A037">
            <w:pPr>
              <w:rPr>
                <w:rFonts w:hAnsi="宋体"/>
                <w:highlight w:val="none"/>
              </w:rPr>
            </w:pPr>
            <w:r>
              <w:rPr>
                <w:rFonts w:hint="eastAsia" w:hAnsi="宋体"/>
                <w:highlight w:val="none"/>
              </w:rPr>
              <w:t>日    期</w:t>
            </w:r>
          </w:p>
        </w:tc>
        <w:tc>
          <w:tcPr>
            <w:tcW w:w="3240" w:type="dxa"/>
            <w:tcBorders>
              <w:top w:val="nil"/>
            </w:tcBorders>
            <w:vAlign w:val="center"/>
          </w:tcPr>
          <w:p w14:paraId="70F03728">
            <w:pPr>
              <w:rPr>
                <w:rFonts w:hAnsi="宋体"/>
                <w:highlight w:val="none"/>
              </w:rPr>
            </w:pPr>
            <w:r>
              <w:rPr>
                <w:rFonts w:hint="eastAsia" w:hAnsi="宋体"/>
                <w:highlight w:val="none"/>
              </w:rPr>
              <w:t>202</w:t>
            </w:r>
            <w:r>
              <w:rPr>
                <w:rFonts w:hint="eastAsia" w:hAnsi="宋体"/>
                <w:highlight w:val="none"/>
                <w:lang w:val="en-US" w:eastAsia="zh-CN"/>
              </w:rPr>
              <w:t>6</w:t>
            </w:r>
            <w:r>
              <w:rPr>
                <w:rFonts w:hAnsi="宋体"/>
                <w:highlight w:val="none"/>
              </w:rPr>
              <w:t>年 月 日</w:t>
            </w:r>
          </w:p>
        </w:tc>
        <w:tc>
          <w:tcPr>
            <w:tcW w:w="1142" w:type="dxa"/>
            <w:tcBorders>
              <w:top w:val="nil"/>
            </w:tcBorders>
            <w:vAlign w:val="center"/>
          </w:tcPr>
          <w:p w14:paraId="1C48975B">
            <w:pPr>
              <w:rPr>
                <w:rFonts w:hAnsi="宋体"/>
                <w:highlight w:val="none"/>
              </w:rPr>
            </w:pPr>
            <w:r>
              <w:rPr>
                <w:rFonts w:hint="eastAsia" w:hAnsi="宋体"/>
                <w:highlight w:val="none"/>
              </w:rPr>
              <w:t>日    期</w:t>
            </w:r>
          </w:p>
        </w:tc>
        <w:tc>
          <w:tcPr>
            <w:tcW w:w="3575" w:type="dxa"/>
            <w:tcBorders>
              <w:top w:val="nil"/>
            </w:tcBorders>
            <w:vAlign w:val="center"/>
          </w:tcPr>
          <w:p w14:paraId="45B96E9A">
            <w:pPr>
              <w:rPr>
                <w:rFonts w:hAnsi="宋体"/>
                <w:highlight w:val="none"/>
              </w:rPr>
            </w:pPr>
            <w:r>
              <w:rPr>
                <w:rFonts w:hint="eastAsia" w:hAnsi="宋体"/>
                <w:highlight w:val="none"/>
              </w:rPr>
              <w:t>202</w:t>
            </w:r>
            <w:r>
              <w:rPr>
                <w:rFonts w:hint="eastAsia" w:hAnsi="宋体"/>
                <w:highlight w:val="none"/>
                <w:lang w:val="en-US" w:eastAsia="zh-CN"/>
              </w:rPr>
              <w:t>6</w:t>
            </w:r>
            <w:r>
              <w:rPr>
                <w:rFonts w:hint="eastAsia" w:hAnsi="宋体"/>
                <w:highlight w:val="none"/>
              </w:rPr>
              <w:t>年  月  日</w:t>
            </w:r>
          </w:p>
        </w:tc>
      </w:tr>
      <w:tr w14:paraId="612F29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tcBorders>
              <w:top w:val="nil"/>
            </w:tcBorders>
            <w:vAlign w:val="center"/>
          </w:tcPr>
          <w:p w14:paraId="5CA75DD1">
            <w:pPr>
              <w:rPr>
                <w:rFonts w:hAnsi="宋体"/>
                <w:highlight w:val="none"/>
              </w:rPr>
            </w:pPr>
            <w:r>
              <w:rPr>
                <w:rFonts w:hint="eastAsia" w:hAnsi="宋体"/>
                <w:highlight w:val="none"/>
              </w:rPr>
              <w:t>地    址</w:t>
            </w:r>
          </w:p>
        </w:tc>
        <w:tc>
          <w:tcPr>
            <w:tcW w:w="3240" w:type="dxa"/>
            <w:tcBorders>
              <w:top w:val="nil"/>
              <w:bottom w:val="single" w:color="auto" w:sz="4" w:space="0"/>
            </w:tcBorders>
            <w:vAlign w:val="center"/>
          </w:tcPr>
          <w:p w14:paraId="4F231911">
            <w:pPr>
              <w:rPr>
                <w:rFonts w:hAnsi="宋体"/>
                <w:highlight w:val="none"/>
              </w:rPr>
            </w:pPr>
            <w:r>
              <w:rPr>
                <w:rFonts w:hint="eastAsia" w:hAnsi="宋体"/>
                <w:highlight w:val="none"/>
              </w:rPr>
              <w:t>阳朔县福利镇青鸟村委龙回寨村</w:t>
            </w:r>
          </w:p>
        </w:tc>
        <w:tc>
          <w:tcPr>
            <w:tcW w:w="1142" w:type="dxa"/>
            <w:tcBorders>
              <w:top w:val="nil"/>
            </w:tcBorders>
            <w:vAlign w:val="center"/>
          </w:tcPr>
          <w:p w14:paraId="4BEA1273">
            <w:pPr>
              <w:rPr>
                <w:rFonts w:hAnsi="宋体"/>
                <w:highlight w:val="none"/>
              </w:rPr>
            </w:pPr>
            <w:r>
              <w:rPr>
                <w:rFonts w:hint="eastAsia" w:hAnsi="宋体"/>
                <w:highlight w:val="none"/>
              </w:rPr>
              <w:t>地    址</w:t>
            </w:r>
          </w:p>
        </w:tc>
        <w:tc>
          <w:tcPr>
            <w:tcW w:w="3575" w:type="dxa"/>
            <w:tcBorders>
              <w:top w:val="nil"/>
            </w:tcBorders>
            <w:vAlign w:val="center"/>
          </w:tcPr>
          <w:p w14:paraId="2ACD60B2">
            <w:pPr>
              <w:rPr>
                <w:rFonts w:hint="eastAsia" w:hAnsi="宋体" w:eastAsia="宋体"/>
                <w:highlight w:val="none"/>
                <w:lang w:eastAsia="zh-CN"/>
              </w:rPr>
            </w:pPr>
            <w:r>
              <w:rPr>
                <w:rFonts w:hint="eastAsia" w:hAnsi="宋体"/>
                <w:sz w:val="21"/>
                <w:highlight w:val="none"/>
                <w:lang w:val="en-US" w:eastAsia="zh-CN"/>
              </w:rPr>
              <w:t xml:space="preserve"> </w:t>
            </w:r>
          </w:p>
        </w:tc>
      </w:tr>
      <w:tr w14:paraId="334AAB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tcBorders>
              <w:top w:val="nil"/>
            </w:tcBorders>
            <w:vAlign w:val="center"/>
          </w:tcPr>
          <w:p w14:paraId="15B6AE5D">
            <w:pPr>
              <w:rPr>
                <w:rFonts w:hAnsi="宋体"/>
                <w:highlight w:val="none"/>
              </w:rPr>
            </w:pPr>
            <w:r>
              <w:rPr>
                <w:rFonts w:hint="eastAsia" w:hAnsi="宋体"/>
                <w:highlight w:val="none"/>
                <w:lang w:val="en-US" w:eastAsia="zh-CN"/>
              </w:rPr>
              <w:t>技术联系人</w:t>
            </w:r>
          </w:p>
        </w:tc>
        <w:tc>
          <w:tcPr>
            <w:tcW w:w="3240" w:type="dxa"/>
            <w:tcBorders>
              <w:top w:val="single" w:color="auto" w:sz="4" w:space="0"/>
            </w:tcBorders>
            <w:vAlign w:val="center"/>
          </w:tcPr>
          <w:p w14:paraId="6719CC29">
            <w:pPr>
              <w:rPr>
                <w:rFonts w:hint="eastAsia" w:hAnsi="宋体" w:eastAsia="宋体"/>
                <w:highlight w:val="none"/>
                <w:lang w:val="en-US" w:eastAsia="zh-CN"/>
              </w:rPr>
            </w:pPr>
            <w:r>
              <w:rPr>
                <w:rFonts w:hint="eastAsia" w:hAnsi="宋体"/>
                <w:highlight w:val="none"/>
                <w:lang w:val="en-US" w:eastAsia="zh-CN"/>
              </w:rPr>
              <w:t>卜工</w:t>
            </w:r>
          </w:p>
        </w:tc>
        <w:tc>
          <w:tcPr>
            <w:tcW w:w="1142" w:type="dxa"/>
            <w:tcBorders>
              <w:top w:val="nil"/>
            </w:tcBorders>
            <w:vAlign w:val="center"/>
          </w:tcPr>
          <w:p w14:paraId="682B352B">
            <w:pPr>
              <w:rPr>
                <w:rFonts w:hAnsi="宋体"/>
                <w:highlight w:val="none"/>
              </w:rPr>
            </w:pPr>
            <w:r>
              <w:rPr>
                <w:rFonts w:hint="eastAsia" w:hAnsi="宋体"/>
                <w:highlight w:val="none"/>
              </w:rPr>
              <w:t>联 系 人</w:t>
            </w:r>
          </w:p>
        </w:tc>
        <w:tc>
          <w:tcPr>
            <w:tcW w:w="3575" w:type="dxa"/>
            <w:tcBorders>
              <w:top w:val="nil"/>
            </w:tcBorders>
            <w:vAlign w:val="center"/>
          </w:tcPr>
          <w:p w14:paraId="381C30B9">
            <w:pPr>
              <w:jc w:val="left"/>
              <w:rPr>
                <w:rFonts w:hint="eastAsia" w:hAnsi="宋体" w:eastAsia="宋体"/>
                <w:highlight w:val="none"/>
                <w:lang w:eastAsia="zh-CN"/>
              </w:rPr>
            </w:pPr>
            <w:r>
              <w:rPr>
                <w:rFonts w:hint="eastAsia" w:hAnsi="宋体"/>
                <w:highlight w:val="none"/>
                <w:lang w:val="en-US" w:eastAsia="zh-CN"/>
              </w:rPr>
              <w:t>王勇</w:t>
            </w:r>
          </w:p>
        </w:tc>
      </w:tr>
      <w:tr w14:paraId="448C4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vAlign w:val="center"/>
          </w:tcPr>
          <w:p w14:paraId="01F3BA18">
            <w:pPr>
              <w:rPr>
                <w:rFonts w:hAnsi="宋体"/>
                <w:highlight w:val="none"/>
              </w:rPr>
            </w:pPr>
            <w:r>
              <w:rPr>
                <w:rFonts w:hint="eastAsia" w:hAnsi="宋体"/>
                <w:highlight w:val="none"/>
              </w:rPr>
              <w:t>电    话</w:t>
            </w:r>
          </w:p>
        </w:tc>
        <w:tc>
          <w:tcPr>
            <w:tcW w:w="3240" w:type="dxa"/>
            <w:vAlign w:val="center"/>
          </w:tcPr>
          <w:p w14:paraId="6EB24DA9">
            <w:pPr>
              <w:rPr>
                <w:rFonts w:hint="default" w:hAnsi="宋体" w:eastAsia="宋体"/>
                <w:highlight w:val="none"/>
                <w:lang w:val="en-US" w:eastAsia="zh-CN"/>
              </w:rPr>
            </w:pPr>
            <w:r>
              <w:rPr>
                <w:rFonts w:hint="eastAsia" w:hAnsi="宋体"/>
                <w:highlight w:val="none"/>
                <w:lang w:val="en-US" w:eastAsia="zh-CN"/>
              </w:rPr>
              <w:t xml:space="preserve"> </w:t>
            </w:r>
          </w:p>
        </w:tc>
        <w:tc>
          <w:tcPr>
            <w:tcW w:w="1142" w:type="dxa"/>
            <w:vAlign w:val="center"/>
          </w:tcPr>
          <w:p w14:paraId="4D911798">
            <w:pPr>
              <w:rPr>
                <w:rFonts w:hAnsi="宋体"/>
                <w:highlight w:val="none"/>
              </w:rPr>
            </w:pPr>
            <w:r>
              <w:rPr>
                <w:rFonts w:hint="eastAsia" w:hAnsi="宋体"/>
                <w:highlight w:val="none"/>
              </w:rPr>
              <w:t>电    话</w:t>
            </w:r>
          </w:p>
        </w:tc>
        <w:tc>
          <w:tcPr>
            <w:tcW w:w="3575" w:type="dxa"/>
            <w:vAlign w:val="center"/>
          </w:tcPr>
          <w:p w14:paraId="4E72CF87">
            <w:pPr>
              <w:jc w:val="left"/>
              <w:rPr>
                <w:rFonts w:hint="eastAsia" w:hAnsi="宋体" w:eastAsia="宋体"/>
                <w:highlight w:val="none"/>
                <w:lang w:eastAsia="zh-CN"/>
              </w:rPr>
            </w:pPr>
            <w:r>
              <w:rPr>
                <w:rFonts w:hint="eastAsia" w:hAnsi="宋体"/>
                <w:sz w:val="21"/>
                <w:highlight w:val="none"/>
                <w:lang w:val="en-US" w:eastAsia="zh-CN"/>
              </w:rPr>
              <w:t>18856967598</w:t>
            </w:r>
          </w:p>
        </w:tc>
      </w:tr>
      <w:tr w14:paraId="494B5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vAlign w:val="center"/>
          </w:tcPr>
          <w:p w14:paraId="73291585">
            <w:pPr>
              <w:rPr>
                <w:rFonts w:hAnsi="宋体"/>
                <w:sz w:val="18"/>
                <w:highlight w:val="none"/>
              </w:rPr>
            </w:pPr>
            <w:r>
              <w:rPr>
                <w:rFonts w:hint="eastAsia" w:hAnsi="宋体"/>
                <w:sz w:val="18"/>
                <w:highlight w:val="none"/>
              </w:rPr>
              <w:t>开票客户名称</w:t>
            </w:r>
          </w:p>
        </w:tc>
        <w:tc>
          <w:tcPr>
            <w:tcW w:w="3240" w:type="dxa"/>
            <w:vAlign w:val="center"/>
          </w:tcPr>
          <w:p w14:paraId="531C18F4">
            <w:pPr>
              <w:rPr>
                <w:rFonts w:hint="eastAsia" w:hAnsi="宋体" w:eastAsia="宋体"/>
                <w:highlight w:val="none"/>
                <w:lang w:eastAsia="zh-CN"/>
              </w:rPr>
            </w:pPr>
            <w:r>
              <w:rPr>
                <w:rFonts w:hint="eastAsia" w:hAnsi="宋体"/>
                <w:highlight w:val="none"/>
                <w:lang w:eastAsia="zh-CN"/>
              </w:rPr>
              <w:t>阳朔县深能环保有限公司</w:t>
            </w:r>
          </w:p>
        </w:tc>
        <w:tc>
          <w:tcPr>
            <w:tcW w:w="1142" w:type="dxa"/>
            <w:vAlign w:val="center"/>
          </w:tcPr>
          <w:p w14:paraId="5E06EB10">
            <w:pPr>
              <w:rPr>
                <w:rFonts w:hAnsi="宋体"/>
                <w:highlight w:val="none"/>
              </w:rPr>
            </w:pPr>
            <w:r>
              <w:rPr>
                <w:rFonts w:hint="eastAsia" w:hAnsi="宋体"/>
                <w:highlight w:val="none"/>
              </w:rPr>
              <w:t>开户名称</w:t>
            </w:r>
          </w:p>
        </w:tc>
        <w:tc>
          <w:tcPr>
            <w:tcW w:w="3575" w:type="dxa"/>
            <w:vAlign w:val="center"/>
          </w:tcPr>
          <w:p w14:paraId="40F9C2BD">
            <w:pPr>
              <w:jc w:val="left"/>
              <w:rPr>
                <w:rFonts w:hint="default" w:hAnsi="宋体" w:eastAsia="宋体"/>
                <w:highlight w:val="none"/>
                <w:lang w:val="en-US" w:eastAsia="zh-CN"/>
              </w:rPr>
            </w:pPr>
            <w:r>
              <w:rPr>
                <w:rFonts w:hint="eastAsia" w:hAnsi="宋体"/>
                <w:highlight w:val="none"/>
                <w:lang w:val="en-US" w:eastAsia="zh-CN"/>
              </w:rPr>
              <w:t xml:space="preserve"> 安徽新力电业高技术有限责任公司</w:t>
            </w:r>
          </w:p>
        </w:tc>
      </w:tr>
      <w:tr w14:paraId="1A3E61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vAlign w:val="center"/>
          </w:tcPr>
          <w:p w14:paraId="28907D5D">
            <w:pPr>
              <w:rPr>
                <w:rFonts w:hAnsi="宋体"/>
                <w:b/>
                <w:highlight w:val="none"/>
              </w:rPr>
            </w:pPr>
            <w:r>
              <w:rPr>
                <w:rFonts w:hint="eastAsia" w:hAnsi="宋体"/>
                <w:highlight w:val="none"/>
              </w:rPr>
              <w:t>开户银行</w:t>
            </w:r>
          </w:p>
        </w:tc>
        <w:tc>
          <w:tcPr>
            <w:tcW w:w="3240" w:type="dxa"/>
            <w:vAlign w:val="center"/>
          </w:tcPr>
          <w:p w14:paraId="7A8A47DB">
            <w:pPr>
              <w:rPr>
                <w:rFonts w:hAnsi="宋体"/>
                <w:highlight w:val="none"/>
              </w:rPr>
            </w:pPr>
            <w:r>
              <w:rPr>
                <w:rFonts w:hint="eastAsia" w:hAnsi="宋体"/>
                <w:highlight w:val="none"/>
              </w:rPr>
              <w:t>中国农业银行股份有限公司阳朔县支行</w:t>
            </w:r>
          </w:p>
        </w:tc>
        <w:tc>
          <w:tcPr>
            <w:tcW w:w="1142" w:type="dxa"/>
            <w:vAlign w:val="center"/>
          </w:tcPr>
          <w:p w14:paraId="19B2FF47">
            <w:pPr>
              <w:rPr>
                <w:rFonts w:hAnsi="宋体"/>
                <w:highlight w:val="none"/>
              </w:rPr>
            </w:pPr>
            <w:r>
              <w:rPr>
                <w:rFonts w:hint="eastAsia" w:hAnsi="宋体"/>
                <w:highlight w:val="none"/>
              </w:rPr>
              <w:t>开户银行</w:t>
            </w:r>
          </w:p>
        </w:tc>
        <w:tc>
          <w:tcPr>
            <w:tcW w:w="3575" w:type="dxa"/>
            <w:vAlign w:val="center"/>
          </w:tcPr>
          <w:p w14:paraId="235EB279">
            <w:pPr>
              <w:jc w:val="left"/>
              <w:rPr>
                <w:rFonts w:hint="default" w:hAnsi="宋体" w:eastAsia="宋体"/>
                <w:highlight w:val="none"/>
                <w:lang w:val="en-US" w:eastAsia="zh-CN"/>
              </w:rPr>
            </w:pPr>
            <w:r>
              <w:rPr>
                <w:rFonts w:hint="eastAsia" w:hAnsi="宋体"/>
                <w:highlight w:val="none"/>
                <w:lang w:val="en-US" w:eastAsia="zh-CN"/>
              </w:rPr>
              <w:t>中国工商银行合肥科大支行</w:t>
            </w:r>
          </w:p>
        </w:tc>
      </w:tr>
      <w:tr w14:paraId="0E1B5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vAlign w:val="center"/>
          </w:tcPr>
          <w:p w14:paraId="6A889B34">
            <w:pPr>
              <w:rPr>
                <w:rFonts w:hAnsi="宋体"/>
                <w:highlight w:val="none"/>
              </w:rPr>
            </w:pPr>
            <w:r>
              <w:rPr>
                <w:rFonts w:hint="eastAsia" w:hAnsi="宋体"/>
                <w:sz w:val="18"/>
                <w:highlight w:val="none"/>
              </w:rPr>
              <w:t>开票地址电话</w:t>
            </w:r>
          </w:p>
        </w:tc>
        <w:tc>
          <w:tcPr>
            <w:tcW w:w="3240" w:type="dxa"/>
            <w:vAlign w:val="center"/>
          </w:tcPr>
          <w:p w14:paraId="28E52006">
            <w:pPr>
              <w:rPr>
                <w:rFonts w:hAnsi="宋体"/>
                <w:highlight w:val="none"/>
              </w:rPr>
            </w:pPr>
            <w:r>
              <w:rPr>
                <w:rFonts w:hint="eastAsia" w:hAnsi="宋体"/>
                <w:highlight w:val="none"/>
              </w:rPr>
              <w:t>0773-3680323</w:t>
            </w:r>
          </w:p>
        </w:tc>
        <w:tc>
          <w:tcPr>
            <w:tcW w:w="1142" w:type="dxa"/>
            <w:vAlign w:val="center"/>
          </w:tcPr>
          <w:p w14:paraId="65AC9BE1">
            <w:pPr>
              <w:rPr>
                <w:rFonts w:hAnsi="宋体"/>
                <w:highlight w:val="none"/>
              </w:rPr>
            </w:pPr>
          </w:p>
        </w:tc>
        <w:tc>
          <w:tcPr>
            <w:tcW w:w="3575" w:type="dxa"/>
            <w:vAlign w:val="center"/>
          </w:tcPr>
          <w:p w14:paraId="1CE55C2C">
            <w:pPr>
              <w:jc w:val="left"/>
              <w:rPr>
                <w:rFonts w:hAnsi="宋体"/>
                <w:highlight w:val="none"/>
              </w:rPr>
            </w:pPr>
          </w:p>
        </w:tc>
      </w:tr>
      <w:tr w14:paraId="05B961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vAlign w:val="center"/>
          </w:tcPr>
          <w:p w14:paraId="5387FA20">
            <w:pPr>
              <w:rPr>
                <w:rFonts w:hAnsi="宋体"/>
                <w:highlight w:val="none"/>
              </w:rPr>
            </w:pPr>
            <w:r>
              <w:rPr>
                <w:rFonts w:hint="eastAsia" w:hAnsi="宋体"/>
                <w:highlight w:val="none"/>
              </w:rPr>
              <w:t>帐    号</w:t>
            </w:r>
          </w:p>
        </w:tc>
        <w:tc>
          <w:tcPr>
            <w:tcW w:w="3240" w:type="dxa"/>
            <w:vAlign w:val="center"/>
          </w:tcPr>
          <w:p w14:paraId="432587D7">
            <w:pPr>
              <w:rPr>
                <w:rFonts w:hAnsi="宋体"/>
                <w:highlight w:val="none"/>
              </w:rPr>
            </w:pPr>
            <w:r>
              <w:rPr>
                <w:rFonts w:hint="eastAsia" w:hAnsi="宋体"/>
                <w:highlight w:val="none"/>
              </w:rPr>
              <w:t>20225101040011434</w:t>
            </w:r>
          </w:p>
        </w:tc>
        <w:tc>
          <w:tcPr>
            <w:tcW w:w="1142" w:type="dxa"/>
            <w:vAlign w:val="center"/>
          </w:tcPr>
          <w:p w14:paraId="72DC41DB">
            <w:pPr>
              <w:rPr>
                <w:rFonts w:hAnsi="宋体"/>
                <w:highlight w:val="none"/>
              </w:rPr>
            </w:pPr>
            <w:r>
              <w:rPr>
                <w:rFonts w:hint="eastAsia" w:hAnsi="宋体"/>
                <w:highlight w:val="none"/>
              </w:rPr>
              <w:t>帐    号</w:t>
            </w:r>
          </w:p>
        </w:tc>
        <w:tc>
          <w:tcPr>
            <w:tcW w:w="3575" w:type="dxa"/>
            <w:vAlign w:val="center"/>
          </w:tcPr>
          <w:p w14:paraId="14482F6C">
            <w:pPr>
              <w:jc w:val="left"/>
              <w:rPr>
                <w:rFonts w:hint="default" w:hAnsi="宋体" w:eastAsia="宋体"/>
                <w:highlight w:val="none"/>
                <w:lang w:val="en-US" w:eastAsia="zh-CN"/>
              </w:rPr>
            </w:pPr>
            <w:r>
              <w:rPr>
                <w:rFonts w:hint="eastAsia" w:hAnsi="宋体"/>
                <w:highlight w:val="none"/>
                <w:lang w:val="en-US" w:eastAsia="zh-CN"/>
              </w:rPr>
              <w:t>1302011809024902901</w:t>
            </w:r>
          </w:p>
        </w:tc>
      </w:tr>
      <w:tr w14:paraId="12793F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368" w:type="dxa"/>
            <w:tcBorders>
              <w:bottom w:val="single" w:color="auto" w:sz="12" w:space="0"/>
            </w:tcBorders>
            <w:vAlign w:val="center"/>
          </w:tcPr>
          <w:p w14:paraId="0F530DFD">
            <w:pPr>
              <w:rPr>
                <w:rFonts w:hAnsi="宋体"/>
                <w:highlight w:val="none"/>
              </w:rPr>
            </w:pPr>
            <w:r>
              <w:rPr>
                <w:rFonts w:hint="eastAsia" w:hAnsi="宋体"/>
                <w:highlight w:val="none"/>
              </w:rPr>
              <w:t>税    号</w:t>
            </w:r>
          </w:p>
        </w:tc>
        <w:tc>
          <w:tcPr>
            <w:tcW w:w="3240" w:type="dxa"/>
            <w:tcBorders>
              <w:bottom w:val="single" w:color="auto" w:sz="12" w:space="0"/>
            </w:tcBorders>
            <w:vAlign w:val="center"/>
          </w:tcPr>
          <w:p w14:paraId="7A44B883">
            <w:pPr>
              <w:rPr>
                <w:rFonts w:hAnsi="宋体"/>
                <w:highlight w:val="none"/>
              </w:rPr>
            </w:pPr>
            <w:r>
              <w:rPr>
                <w:rFonts w:hint="eastAsia" w:hAnsi="宋体"/>
                <w:highlight w:val="none"/>
              </w:rPr>
              <w:t>91450321MA5MY48K74</w:t>
            </w:r>
          </w:p>
        </w:tc>
        <w:tc>
          <w:tcPr>
            <w:tcW w:w="1142" w:type="dxa"/>
            <w:tcBorders>
              <w:bottom w:val="single" w:color="auto" w:sz="12" w:space="0"/>
            </w:tcBorders>
            <w:vAlign w:val="center"/>
          </w:tcPr>
          <w:p w14:paraId="3F97864C">
            <w:pPr>
              <w:rPr>
                <w:rFonts w:hAnsi="宋体"/>
                <w:highlight w:val="none"/>
              </w:rPr>
            </w:pPr>
            <w:r>
              <w:rPr>
                <w:rFonts w:hint="eastAsia" w:hAnsi="宋体"/>
                <w:highlight w:val="none"/>
              </w:rPr>
              <w:t>税    号</w:t>
            </w:r>
          </w:p>
        </w:tc>
        <w:tc>
          <w:tcPr>
            <w:tcW w:w="3575" w:type="dxa"/>
            <w:tcBorders>
              <w:bottom w:val="single" w:color="auto" w:sz="12" w:space="0"/>
            </w:tcBorders>
            <w:vAlign w:val="center"/>
          </w:tcPr>
          <w:p w14:paraId="4F62F06B">
            <w:pPr>
              <w:jc w:val="left"/>
              <w:rPr>
                <w:rFonts w:hint="eastAsia" w:hAnsi="宋体" w:eastAsia="宋体"/>
                <w:highlight w:val="none"/>
                <w:lang w:eastAsia="zh-CN"/>
              </w:rPr>
            </w:pPr>
            <w:r>
              <w:rPr>
                <w:rFonts w:hint="eastAsia" w:hAnsi="宋体"/>
                <w:highlight w:val="none"/>
                <w:lang w:val="en-US" w:eastAsia="zh-CN"/>
              </w:rPr>
              <w:t>91340100149047528H</w:t>
            </w:r>
          </w:p>
        </w:tc>
      </w:tr>
    </w:tbl>
    <w:p w14:paraId="104E4091">
      <w:pPr>
        <w:spacing w:line="360" w:lineRule="auto"/>
        <w:jc w:val="left"/>
        <w:rPr>
          <w:sz w:val="28"/>
          <w:szCs w:val="28"/>
          <w:highlight w:val="none"/>
        </w:rPr>
      </w:pPr>
    </w:p>
    <w:p w14:paraId="78CD1481">
      <w:pPr>
        <w:jc w:val="both"/>
        <w:rPr>
          <w:sz w:val="24"/>
          <w:highlight w:val="none"/>
        </w:rPr>
        <w:sectPr>
          <w:pgSz w:w="11906" w:h="16838"/>
          <w:pgMar w:top="1418" w:right="1418" w:bottom="1134" w:left="1418" w:header="851" w:footer="992" w:gutter="0"/>
          <w:cols w:space="720" w:num="1"/>
          <w:docGrid w:type="lines" w:linePitch="312" w:charSpace="0"/>
        </w:sectPr>
      </w:pPr>
    </w:p>
    <w:bookmarkEnd w:id="0"/>
    <w:bookmarkEnd w:id="1"/>
    <w:bookmarkEnd w:id="2"/>
    <w:bookmarkEnd w:id="3"/>
    <w:p w14:paraId="4E063642">
      <w:pPr>
        <w:spacing w:line="360" w:lineRule="auto"/>
        <w:jc w:val="left"/>
        <w:rPr>
          <w:rFonts w:hAnsi="宋体"/>
          <w:spacing w:val="10"/>
          <w:sz w:val="24"/>
          <w:highlight w:val="none"/>
        </w:rPr>
      </w:pPr>
      <w:r>
        <w:rPr>
          <w:rFonts w:hint="eastAsia" w:hAnsi="宋体"/>
          <w:spacing w:val="10"/>
          <w:sz w:val="24"/>
          <w:highlight w:val="none"/>
          <w:lang w:val="en-US" w:eastAsia="zh-CN"/>
        </w:rPr>
        <w:t>附件一《</w:t>
      </w:r>
      <w:r>
        <w:rPr>
          <w:rFonts w:hint="eastAsia" w:hAnsi="宋体"/>
          <w:spacing w:val="10"/>
          <w:sz w:val="24"/>
          <w:highlight w:val="none"/>
        </w:rPr>
        <w:t>阳朔县深能环保有限公司</w:t>
      </w:r>
      <w:r>
        <w:rPr>
          <w:rFonts w:hint="eastAsia" w:hAnsi="宋体"/>
          <w:spacing w:val="10"/>
          <w:sz w:val="24"/>
          <w:highlight w:val="none"/>
          <w:lang w:val="en-US" w:eastAsia="zh-CN"/>
        </w:rPr>
        <w:t>2026</w:t>
      </w:r>
      <w:r>
        <w:rPr>
          <w:rFonts w:hint="eastAsia" w:hAnsi="宋体"/>
          <w:spacing w:val="10"/>
          <w:sz w:val="24"/>
          <w:highlight w:val="none"/>
        </w:rPr>
        <w:t>年技术监督咨询技术协议》</w:t>
      </w:r>
    </w:p>
    <w:p w14:paraId="1EFD794A">
      <w:pPr>
        <w:spacing w:line="360" w:lineRule="auto"/>
        <w:jc w:val="left"/>
        <w:rPr>
          <w:rFonts w:hint="eastAsia" w:hAnsi="宋体" w:eastAsia="宋体"/>
          <w:spacing w:val="10"/>
          <w:sz w:val="24"/>
          <w:highlight w:val="none"/>
          <w:lang w:val="en-US" w:eastAsia="zh-CN"/>
        </w:rPr>
      </w:pPr>
    </w:p>
    <w:p w14:paraId="558ED492">
      <w:pPr>
        <w:spacing w:line="360" w:lineRule="auto"/>
        <w:ind w:right="157"/>
        <w:jc w:val="center"/>
        <w:rPr>
          <w:rFonts w:hint="eastAsia" w:eastAsia="黑体"/>
          <w:bCs/>
          <w:sz w:val="52"/>
          <w:szCs w:val="52"/>
          <w:lang w:eastAsia="zh-CN"/>
        </w:rPr>
      </w:pPr>
      <w:r>
        <w:rPr>
          <w:rFonts w:hint="eastAsia" w:eastAsia="黑体"/>
          <w:bCs/>
          <w:sz w:val="52"/>
          <w:szCs w:val="52"/>
          <w:lang w:eastAsia="zh-CN"/>
        </w:rPr>
        <w:t>阳朔县深能环保有限公司</w:t>
      </w:r>
    </w:p>
    <w:p w14:paraId="203ADFC2">
      <w:pPr>
        <w:spacing w:line="360" w:lineRule="auto"/>
        <w:ind w:right="157"/>
        <w:jc w:val="center"/>
        <w:rPr>
          <w:rFonts w:ascii="黑体" w:hAnsi="宋体" w:eastAsia="黑体"/>
          <w:sz w:val="48"/>
          <w:szCs w:val="48"/>
        </w:rPr>
      </w:pPr>
      <w:r>
        <w:rPr>
          <w:rFonts w:hint="eastAsia" w:eastAsia="黑体"/>
          <w:bCs/>
          <w:sz w:val="52"/>
          <w:szCs w:val="52"/>
        </w:rPr>
        <w:t>202</w:t>
      </w:r>
      <w:r>
        <w:rPr>
          <w:rFonts w:hint="eastAsia" w:eastAsia="黑体"/>
          <w:bCs/>
          <w:sz w:val="52"/>
          <w:szCs w:val="52"/>
          <w:lang w:val="en-US" w:eastAsia="zh-CN"/>
        </w:rPr>
        <w:t>6</w:t>
      </w:r>
      <w:r>
        <w:rPr>
          <w:rFonts w:hint="eastAsia" w:eastAsia="黑体"/>
          <w:bCs/>
          <w:sz w:val="52"/>
          <w:szCs w:val="52"/>
        </w:rPr>
        <w:t>年</w:t>
      </w:r>
      <w:r>
        <w:rPr>
          <w:rFonts w:hint="eastAsia" w:eastAsia="黑体"/>
          <w:bCs/>
          <w:sz w:val="52"/>
          <w:szCs w:val="52"/>
          <w:shd w:val="clear" w:color="auto" w:fill="F5F5F5"/>
        </w:rPr>
        <w:t>技术监督咨询技术协议</w:t>
      </w:r>
    </w:p>
    <w:p w14:paraId="6A3C8B69">
      <w:pPr>
        <w:spacing w:line="360" w:lineRule="auto"/>
        <w:ind w:left="-21" w:leftChars="-10" w:right="-403" w:firstLine="3373" w:firstLineChars="1200"/>
        <w:rPr>
          <w:rFonts w:hint="eastAsia" w:hAnsi="宋体"/>
          <w:b/>
          <w:sz w:val="28"/>
          <w:szCs w:val="28"/>
        </w:rPr>
      </w:pPr>
    </w:p>
    <w:p w14:paraId="3EF60D55">
      <w:pPr>
        <w:spacing w:line="360" w:lineRule="auto"/>
        <w:ind w:right="-403"/>
        <w:jc w:val="center"/>
        <w:rPr>
          <w:b/>
          <w:sz w:val="30"/>
          <w:szCs w:val="30"/>
        </w:rPr>
      </w:pPr>
    </w:p>
    <w:p w14:paraId="1D2C80E8">
      <w:pPr>
        <w:spacing w:line="360" w:lineRule="auto"/>
      </w:pPr>
    </w:p>
    <w:p w14:paraId="41C0C759">
      <w:pPr>
        <w:spacing w:line="360" w:lineRule="auto"/>
      </w:pPr>
    </w:p>
    <w:p w14:paraId="6E2C1F0D">
      <w:pPr>
        <w:spacing w:line="360" w:lineRule="auto"/>
      </w:pPr>
    </w:p>
    <w:p w14:paraId="4F1E8D12">
      <w:pPr>
        <w:spacing w:line="360" w:lineRule="auto"/>
      </w:pPr>
    </w:p>
    <w:p w14:paraId="43C35C32">
      <w:pPr>
        <w:spacing w:line="360" w:lineRule="auto"/>
        <w:jc w:val="center"/>
      </w:pPr>
    </w:p>
    <w:p w14:paraId="4ECC0A2A">
      <w:pPr>
        <w:spacing w:line="360" w:lineRule="auto"/>
        <w:jc w:val="center"/>
      </w:pPr>
    </w:p>
    <w:p w14:paraId="5E039B27">
      <w:pPr>
        <w:spacing w:line="360" w:lineRule="auto"/>
        <w:jc w:val="center"/>
        <w:rPr>
          <w:rFonts w:hint="eastAsia"/>
        </w:rPr>
      </w:pPr>
    </w:p>
    <w:p w14:paraId="47F91DB7">
      <w:pPr>
        <w:spacing w:line="360" w:lineRule="auto"/>
        <w:jc w:val="center"/>
      </w:pPr>
    </w:p>
    <w:p w14:paraId="51CB30DD">
      <w:pPr>
        <w:spacing w:line="360" w:lineRule="auto"/>
        <w:jc w:val="center"/>
      </w:pPr>
    </w:p>
    <w:p w14:paraId="102A3E8F">
      <w:pPr>
        <w:spacing w:line="360" w:lineRule="auto"/>
        <w:jc w:val="center"/>
      </w:pPr>
    </w:p>
    <w:p w14:paraId="12F00F75">
      <w:pPr>
        <w:spacing w:line="360" w:lineRule="auto"/>
        <w:jc w:val="center"/>
      </w:pPr>
    </w:p>
    <w:p w14:paraId="4433BD2C">
      <w:pPr>
        <w:spacing w:line="360" w:lineRule="auto"/>
        <w:jc w:val="center"/>
      </w:pPr>
    </w:p>
    <w:p w14:paraId="4432CDB0">
      <w:pPr>
        <w:spacing w:line="360" w:lineRule="auto"/>
        <w:jc w:val="center"/>
      </w:pPr>
    </w:p>
    <w:p w14:paraId="7D967F66">
      <w:pPr>
        <w:spacing w:line="360" w:lineRule="auto"/>
        <w:jc w:val="center"/>
        <w:rPr>
          <w:sz w:val="28"/>
        </w:rPr>
      </w:pPr>
    </w:p>
    <w:p w14:paraId="282206BB">
      <w:pPr>
        <w:spacing w:line="360" w:lineRule="auto"/>
        <w:jc w:val="center"/>
        <w:rPr>
          <w:sz w:val="28"/>
        </w:rPr>
      </w:pPr>
    </w:p>
    <w:p w14:paraId="23EAA296">
      <w:pPr>
        <w:spacing w:line="360" w:lineRule="auto"/>
        <w:ind w:left="-21" w:right="-403" w:firstLine="21"/>
        <w:jc w:val="center"/>
        <w:rPr>
          <w:b/>
          <w:sz w:val="32"/>
          <w:szCs w:val="32"/>
        </w:rPr>
      </w:pPr>
    </w:p>
    <w:p w14:paraId="5AEF65C0">
      <w:pPr>
        <w:spacing w:line="360" w:lineRule="auto"/>
        <w:ind w:left="-21" w:right="-403" w:firstLine="21"/>
        <w:jc w:val="center"/>
        <w:rPr>
          <w:b/>
          <w:sz w:val="32"/>
          <w:szCs w:val="32"/>
        </w:rPr>
      </w:pPr>
    </w:p>
    <w:p w14:paraId="7A2558EF">
      <w:pPr>
        <w:spacing w:line="360" w:lineRule="auto"/>
        <w:ind w:left="-21" w:leftChars="-10" w:right="-403" w:firstLine="1304" w:firstLineChars="406"/>
        <w:rPr>
          <w:rFonts w:hint="eastAsia" w:eastAsia="宋体"/>
          <w:sz w:val="30"/>
          <w:szCs w:val="30"/>
          <w:lang w:eastAsia="zh-CN"/>
        </w:rPr>
      </w:pPr>
      <w:r>
        <w:rPr>
          <w:rFonts w:hAnsi="Arial"/>
          <w:b/>
          <w:sz w:val="32"/>
          <w:szCs w:val="32"/>
        </w:rPr>
        <w:t>委托方（甲方）：</w:t>
      </w:r>
      <w:r>
        <w:rPr>
          <w:rFonts w:hint="eastAsia" w:ascii="宋体" w:hAnsi="宋体"/>
          <w:b/>
          <w:bCs/>
          <w:sz w:val="32"/>
          <w:szCs w:val="32"/>
          <w:lang w:eastAsia="zh-CN"/>
        </w:rPr>
        <w:t>阳朔县深能环保有限公司</w:t>
      </w:r>
    </w:p>
    <w:p w14:paraId="41AEA736">
      <w:pPr>
        <w:spacing w:line="360" w:lineRule="auto"/>
        <w:ind w:right="-403" w:firstLine="1285" w:firstLineChars="400"/>
        <w:rPr>
          <w:rFonts w:hint="eastAsia"/>
          <w:b/>
          <w:bCs/>
          <w:sz w:val="32"/>
          <w:szCs w:val="32"/>
        </w:rPr>
        <w:sectPr>
          <w:headerReference r:id="rId5" w:type="default"/>
          <w:footerReference r:id="rId6" w:type="default"/>
          <w:pgSz w:w="11907" w:h="16840"/>
          <w:pgMar w:top="1418" w:right="1418" w:bottom="1418" w:left="1418" w:header="851" w:footer="907" w:gutter="0"/>
          <w:cols w:space="720" w:num="1"/>
        </w:sectPr>
      </w:pPr>
      <w:r>
        <w:rPr>
          <w:rFonts w:hAnsi="宋体"/>
          <w:b/>
          <w:bCs/>
          <w:sz w:val="32"/>
          <w:szCs w:val="32"/>
        </w:rPr>
        <w:t>承接方（乙方）：</w:t>
      </w:r>
      <w:r>
        <w:rPr>
          <w:rFonts w:hint="eastAsia" w:hAnsi="宋体"/>
          <w:b/>
          <w:bCs/>
          <w:sz w:val="32"/>
          <w:szCs w:val="32"/>
        </w:rPr>
        <w:t>安徽新力电业高技术有限责任公司</w:t>
      </w:r>
      <w:bookmarkStart w:id="6" w:name="_GoBack"/>
      <w:bookmarkEnd w:id="6"/>
    </w:p>
    <w:p w14:paraId="7EF48204">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1  </w:t>
      </w:r>
      <w:r>
        <w:rPr>
          <w:rFonts w:ascii="Times New Roman" w:hAnsi="Arial" w:eastAsia="宋体" w:cs="Times New Roman"/>
          <w:b/>
          <w:bCs/>
          <w:kern w:val="2"/>
          <w:sz w:val="32"/>
          <w:szCs w:val="32"/>
          <w:lang w:val="en-US" w:eastAsia="zh-CN" w:bidi="ar-SA"/>
        </w:rPr>
        <w:t>定义</w:t>
      </w:r>
    </w:p>
    <w:p w14:paraId="30C58468">
      <w:pPr>
        <w:spacing w:line="360" w:lineRule="auto"/>
        <w:ind w:firstLine="520" w:firstLineChars="200"/>
        <w:rPr>
          <w:spacing w:val="10"/>
          <w:sz w:val="24"/>
        </w:rPr>
      </w:pPr>
      <w:r>
        <w:rPr>
          <w:spacing w:val="10"/>
          <w:sz w:val="24"/>
        </w:rPr>
        <w:t>本文件和附件中所用下列名词的含义在此予以确定。</w:t>
      </w:r>
    </w:p>
    <w:p w14:paraId="155F784D">
      <w:pPr>
        <w:spacing w:line="360" w:lineRule="auto"/>
        <w:rPr>
          <w:spacing w:val="10"/>
          <w:sz w:val="24"/>
        </w:rPr>
      </w:pPr>
      <w:r>
        <w:rPr>
          <w:spacing w:val="10"/>
          <w:sz w:val="24"/>
        </w:rPr>
        <w:t xml:space="preserve">1.1 </w:t>
      </w:r>
      <w:r>
        <w:rPr>
          <w:rFonts w:hint="eastAsia"/>
          <w:spacing w:val="10"/>
          <w:sz w:val="24"/>
        </w:rPr>
        <w:t>“</w:t>
      </w:r>
      <w:r>
        <w:rPr>
          <w:spacing w:val="10"/>
          <w:sz w:val="24"/>
        </w:rPr>
        <w:t>甲方</w:t>
      </w:r>
      <w:r>
        <w:rPr>
          <w:rFonts w:hint="eastAsia"/>
          <w:spacing w:val="10"/>
          <w:sz w:val="24"/>
        </w:rPr>
        <w:t>”</w:t>
      </w:r>
      <w:r>
        <w:rPr>
          <w:spacing w:val="10"/>
          <w:sz w:val="24"/>
        </w:rPr>
        <w:t>是指</w:t>
      </w:r>
      <w:r>
        <w:rPr>
          <w:rFonts w:hint="eastAsia" w:eastAsia="宋体"/>
          <w:spacing w:val="10"/>
          <w:sz w:val="24"/>
          <w:lang w:eastAsia="zh-CN"/>
        </w:rPr>
        <w:t>阳朔县深能环保有限公司</w:t>
      </w:r>
      <w:r>
        <w:rPr>
          <w:spacing w:val="10"/>
          <w:sz w:val="24"/>
        </w:rPr>
        <w:t>，包括该法人的法定代表人、法人的继任方和法人的受让方。</w:t>
      </w:r>
    </w:p>
    <w:p w14:paraId="0F05C34C">
      <w:pPr>
        <w:spacing w:line="360" w:lineRule="auto"/>
        <w:rPr>
          <w:spacing w:val="10"/>
          <w:sz w:val="24"/>
        </w:rPr>
      </w:pPr>
      <w:r>
        <w:rPr>
          <w:spacing w:val="10"/>
          <w:sz w:val="24"/>
        </w:rPr>
        <w:t xml:space="preserve">1.2 </w:t>
      </w:r>
      <w:r>
        <w:rPr>
          <w:rFonts w:hint="eastAsia"/>
          <w:spacing w:val="10"/>
          <w:sz w:val="24"/>
        </w:rPr>
        <w:t>“</w:t>
      </w:r>
      <w:r>
        <w:rPr>
          <w:spacing w:val="10"/>
          <w:sz w:val="24"/>
        </w:rPr>
        <w:t>乙方</w:t>
      </w:r>
      <w:r>
        <w:rPr>
          <w:rFonts w:hint="eastAsia"/>
          <w:spacing w:val="10"/>
          <w:sz w:val="24"/>
        </w:rPr>
        <w:t>”</w:t>
      </w:r>
      <w:r>
        <w:rPr>
          <w:spacing w:val="10"/>
          <w:sz w:val="24"/>
        </w:rPr>
        <w:t>是指</w:t>
      </w:r>
      <w:r>
        <w:rPr>
          <w:rFonts w:hint="eastAsia"/>
          <w:bCs/>
          <w:spacing w:val="10"/>
          <w:sz w:val="24"/>
        </w:rPr>
        <w:t>技术监督服务单位</w:t>
      </w:r>
      <w:r>
        <w:rPr>
          <w:spacing w:val="10"/>
          <w:sz w:val="24"/>
        </w:rPr>
        <w:t>，包括该法人的法定代表人、法人的继任方和法人的受让方。</w:t>
      </w:r>
    </w:p>
    <w:p w14:paraId="1D9BB609">
      <w:pPr>
        <w:spacing w:line="360" w:lineRule="auto"/>
        <w:rPr>
          <w:rFonts w:hint="eastAsia"/>
          <w:spacing w:val="10"/>
          <w:sz w:val="24"/>
        </w:rPr>
      </w:pPr>
      <w:r>
        <w:rPr>
          <w:spacing w:val="10"/>
          <w:sz w:val="24"/>
        </w:rPr>
        <w:t xml:space="preserve">1.3 </w:t>
      </w:r>
      <w:r>
        <w:rPr>
          <w:rFonts w:hint="eastAsia"/>
          <w:spacing w:val="10"/>
          <w:sz w:val="24"/>
        </w:rPr>
        <w:t>“</w:t>
      </w:r>
      <w:r>
        <w:rPr>
          <w:spacing w:val="10"/>
          <w:sz w:val="24"/>
        </w:rPr>
        <w:t>合同</w:t>
      </w:r>
      <w:r>
        <w:rPr>
          <w:rFonts w:hint="eastAsia"/>
          <w:spacing w:val="10"/>
          <w:sz w:val="24"/>
        </w:rPr>
        <w:t>”</w:t>
      </w:r>
      <w:r>
        <w:rPr>
          <w:spacing w:val="10"/>
          <w:sz w:val="24"/>
        </w:rPr>
        <w:t>是指本文件及其附件中的所有部分。</w:t>
      </w:r>
    </w:p>
    <w:p w14:paraId="325BB645">
      <w:pPr>
        <w:spacing w:line="360" w:lineRule="auto"/>
        <w:rPr>
          <w:rFonts w:hint="eastAsia"/>
          <w:spacing w:val="10"/>
          <w:sz w:val="24"/>
        </w:rPr>
      </w:pPr>
      <w:r>
        <w:rPr>
          <w:spacing w:val="10"/>
          <w:sz w:val="24"/>
        </w:rPr>
        <w:t xml:space="preserve">1.4 </w:t>
      </w:r>
      <w:r>
        <w:rPr>
          <w:rFonts w:hint="eastAsia"/>
          <w:spacing w:val="10"/>
          <w:sz w:val="24"/>
        </w:rPr>
        <w:t>“</w:t>
      </w:r>
      <w:r>
        <w:rPr>
          <w:spacing w:val="10"/>
          <w:sz w:val="24"/>
        </w:rPr>
        <w:t>合同价格</w:t>
      </w:r>
      <w:r>
        <w:rPr>
          <w:rFonts w:hint="eastAsia"/>
          <w:spacing w:val="10"/>
          <w:sz w:val="24"/>
        </w:rPr>
        <w:t>”</w:t>
      </w:r>
      <w:r>
        <w:rPr>
          <w:spacing w:val="10"/>
          <w:sz w:val="24"/>
        </w:rPr>
        <w:t>是指在本合同4款中规定的部分</w:t>
      </w:r>
      <w:r>
        <w:rPr>
          <w:rFonts w:hint="eastAsia"/>
          <w:spacing w:val="10"/>
          <w:sz w:val="24"/>
        </w:rPr>
        <w:t>。</w:t>
      </w:r>
    </w:p>
    <w:p w14:paraId="21C3106D">
      <w:pPr>
        <w:spacing w:line="360" w:lineRule="auto"/>
        <w:rPr>
          <w:rFonts w:hint="eastAsia"/>
          <w:spacing w:val="10"/>
          <w:sz w:val="24"/>
        </w:rPr>
      </w:pPr>
      <w:r>
        <w:rPr>
          <w:spacing w:val="10"/>
          <w:sz w:val="24"/>
        </w:rPr>
        <w:t xml:space="preserve">1.5 </w:t>
      </w:r>
      <w:r>
        <w:rPr>
          <w:rFonts w:hint="eastAsia"/>
          <w:spacing w:val="10"/>
          <w:sz w:val="24"/>
        </w:rPr>
        <w:t>“</w:t>
      </w:r>
      <w:r>
        <w:rPr>
          <w:spacing w:val="10"/>
          <w:sz w:val="24"/>
        </w:rPr>
        <w:t>生效日期</w:t>
      </w:r>
      <w:r>
        <w:rPr>
          <w:rFonts w:hint="eastAsia"/>
          <w:spacing w:val="10"/>
          <w:sz w:val="24"/>
        </w:rPr>
        <w:t>”</w:t>
      </w:r>
      <w:r>
        <w:rPr>
          <w:spacing w:val="10"/>
          <w:sz w:val="24"/>
        </w:rPr>
        <w:t>是指本合同12款中所规定的合同的生效日期。</w:t>
      </w:r>
    </w:p>
    <w:p w14:paraId="4269B259">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2  </w:t>
      </w:r>
      <w:r>
        <w:rPr>
          <w:rFonts w:ascii="Times New Roman" w:hAnsi="Arial" w:eastAsia="宋体" w:cs="Times New Roman"/>
          <w:b/>
          <w:bCs/>
          <w:kern w:val="2"/>
          <w:sz w:val="32"/>
          <w:szCs w:val="32"/>
          <w:lang w:val="en-US" w:eastAsia="zh-CN" w:bidi="ar-SA"/>
        </w:rPr>
        <w:t>项目情况</w:t>
      </w:r>
    </w:p>
    <w:p w14:paraId="3F7BE73C">
      <w:pPr>
        <w:spacing w:line="360" w:lineRule="auto"/>
        <w:rPr>
          <w:rFonts w:hint="eastAsia"/>
          <w:spacing w:val="10"/>
          <w:sz w:val="24"/>
        </w:rPr>
      </w:pPr>
      <w:r>
        <w:rPr>
          <w:spacing w:val="10"/>
          <w:sz w:val="24"/>
        </w:rPr>
        <w:t>2.1</w:t>
      </w:r>
      <w:r>
        <w:rPr>
          <w:rFonts w:hint="eastAsia"/>
          <w:spacing w:val="10"/>
          <w:sz w:val="24"/>
        </w:rPr>
        <w:t>为了保证我司</w:t>
      </w:r>
      <w:r>
        <w:rPr>
          <w:rFonts w:hint="eastAsia" w:eastAsia="宋体"/>
          <w:spacing w:val="10"/>
          <w:sz w:val="24"/>
          <w:lang w:eastAsia="zh-CN"/>
        </w:rPr>
        <w:t>阳朔县深能环保有限公司</w:t>
      </w:r>
      <w:r>
        <w:rPr>
          <w:rFonts w:hint="eastAsia"/>
          <w:spacing w:val="10"/>
          <w:sz w:val="24"/>
        </w:rPr>
        <w:t>（以下简称甲方）安全、经济发电、稳定供电，在真实、充分地表达各自意愿的基础上，根据《中华人民共和国民法典》的规定，达成如下协议,并由双方共同恪守。</w:t>
      </w:r>
    </w:p>
    <w:p w14:paraId="75C5EED3">
      <w:pPr>
        <w:spacing w:line="360" w:lineRule="auto"/>
        <w:rPr>
          <w:rFonts w:hint="eastAsia"/>
          <w:spacing w:val="10"/>
          <w:sz w:val="24"/>
        </w:rPr>
      </w:pPr>
      <w:r>
        <w:rPr>
          <w:rFonts w:hint="eastAsia"/>
          <w:spacing w:val="10"/>
          <w:sz w:val="24"/>
        </w:rPr>
        <w:t>2.2</w:t>
      </w:r>
      <w:r>
        <w:rPr>
          <w:spacing w:val="10"/>
          <w:sz w:val="24"/>
        </w:rPr>
        <w:t>甲方委托乙方按</w:t>
      </w:r>
      <w:r>
        <w:rPr>
          <w:rFonts w:hint="eastAsia"/>
          <w:spacing w:val="10"/>
          <w:sz w:val="24"/>
        </w:rPr>
        <w:t>电力设备、人员技术服务相关规定要求</w:t>
      </w:r>
      <w:r>
        <w:rPr>
          <w:spacing w:val="10"/>
          <w:sz w:val="24"/>
        </w:rPr>
        <w:t>的各项技术</w:t>
      </w:r>
      <w:r>
        <w:rPr>
          <w:rFonts w:hint="eastAsia"/>
          <w:spacing w:val="10"/>
          <w:sz w:val="24"/>
        </w:rPr>
        <w:t>指标及</w:t>
      </w:r>
      <w:r>
        <w:rPr>
          <w:spacing w:val="10"/>
          <w:sz w:val="24"/>
        </w:rPr>
        <w:t>制度，</w:t>
      </w:r>
      <w:r>
        <w:rPr>
          <w:rFonts w:hint="eastAsia"/>
          <w:spacing w:val="10"/>
          <w:sz w:val="24"/>
        </w:rPr>
        <w:t>对甲方</w:t>
      </w:r>
      <w:r>
        <w:rPr>
          <w:spacing w:val="10"/>
          <w:sz w:val="24"/>
        </w:rPr>
        <w:t>进行全方位、全过程、闭环的技术</w:t>
      </w:r>
      <w:r>
        <w:rPr>
          <w:rFonts w:hint="eastAsia"/>
          <w:spacing w:val="10"/>
          <w:sz w:val="24"/>
        </w:rPr>
        <w:t>服务工作</w:t>
      </w:r>
      <w:r>
        <w:rPr>
          <w:spacing w:val="10"/>
          <w:sz w:val="24"/>
        </w:rPr>
        <w:t>。技术服务包括绝缘、化学、金属、</w:t>
      </w:r>
      <w:r>
        <w:rPr>
          <w:rFonts w:hint="eastAsia"/>
          <w:spacing w:val="10"/>
          <w:sz w:val="24"/>
        </w:rPr>
        <w:t>锅炉、</w:t>
      </w:r>
      <w:r>
        <w:rPr>
          <w:spacing w:val="10"/>
          <w:sz w:val="24"/>
        </w:rPr>
        <w:t>电测、热工</w:t>
      </w:r>
      <w:r>
        <w:rPr>
          <w:rFonts w:hint="eastAsia"/>
          <w:spacing w:val="10"/>
          <w:sz w:val="24"/>
        </w:rPr>
        <w:t>、</w:t>
      </w:r>
      <w:r>
        <w:rPr>
          <w:spacing w:val="10"/>
          <w:sz w:val="24"/>
        </w:rPr>
        <w:t>环保、继电保护及安全自动装置、</w:t>
      </w:r>
      <w:r>
        <w:rPr>
          <w:rFonts w:hint="eastAsia"/>
          <w:spacing w:val="10"/>
          <w:sz w:val="24"/>
        </w:rPr>
        <w:t>汽</w:t>
      </w:r>
      <w:r>
        <w:rPr>
          <w:spacing w:val="10"/>
          <w:sz w:val="24"/>
        </w:rPr>
        <w:t>轮机、电能质量、励磁</w:t>
      </w:r>
      <w:r>
        <w:rPr>
          <w:rFonts w:hint="eastAsia"/>
          <w:spacing w:val="10"/>
          <w:sz w:val="24"/>
        </w:rPr>
        <w:t>、脱硫</w:t>
      </w:r>
      <w:r>
        <w:rPr>
          <w:spacing w:val="10"/>
          <w:sz w:val="24"/>
        </w:rPr>
        <w:t>等十</w:t>
      </w:r>
      <w:r>
        <w:rPr>
          <w:rFonts w:hint="eastAsia"/>
          <w:spacing w:val="10"/>
          <w:sz w:val="24"/>
        </w:rPr>
        <w:t>四</w:t>
      </w:r>
      <w:r>
        <w:rPr>
          <w:spacing w:val="10"/>
          <w:sz w:val="24"/>
        </w:rPr>
        <w:t>项专业内容。详细的工作内容见附件</w:t>
      </w:r>
      <w:r>
        <w:rPr>
          <w:rFonts w:hint="eastAsia"/>
          <w:spacing w:val="10"/>
          <w:sz w:val="24"/>
        </w:rPr>
        <w:t>一。</w:t>
      </w:r>
    </w:p>
    <w:p w14:paraId="7480FD29">
      <w:pPr>
        <w:spacing w:line="360" w:lineRule="auto"/>
        <w:rPr>
          <w:rFonts w:hint="eastAsia"/>
          <w:spacing w:val="10"/>
          <w:sz w:val="24"/>
        </w:rPr>
      </w:pPr>
      <w:r>
        <w:rPr>
          <w:rFonts w:hint="eastAsia"/>
          <w:spacing w:val="10"/>
          <w:sz w:val="24"/>
        </w:rPr>
        <w:t>2.3 本合同为电力技术固定服务项目。</w:t>
      </w:r>
    </w:p>
    <w:p w14:paraId="7E2D53C0">
      <w:pPr>
        <w:spacing w:line="360" w:lineRule="auto"/>
        <w:rPr>
          <w:spacing w:val="10"/>
          <w:sz w:val="24"/>
        </w:rPr>
      </w:pPr>
      <w:r>
        <w:rPr>
          <w:spacing w:val="10"/>
          <w:sz w:val="24"/>
        </w:rPr>
        <w:t>2.</w:t>
      </w:r>
      <w:r>
        <w:rPr>
          <w:rFonts w:hint="eastAsia"/>
          <w:spacing w:val="10"/>
          <w:sz w:val="24"/>
        </w:rPr>
        <w:t>4</w:t>
      </w:r>
      <w:r>
        <w:rPr>
          <w:spacing w:val="10"/>
          <w:sz w:val="24"/>
        </w:rPr>
        <w:t xml:space="preserve"> 乙方对于服务对象的</w:t>
      </w:r>
      <w:r>
        <w:rPr>
          <w:rFonts w:hint="eastAsia"/>
          <w:spacing w:val="10"/>
          <w:sz w:val="24"/>
        </w:rPr>
        <w:t>相关</w:t>
      </w:r>
      <w:r>
        <w:rPr>
          <w:spacing w:val="10"/>
          <w:sz w:val="24"/>
        </w:rPr>
        <w:t>工作，既要通过检查、分析等手段发现存在的问题，又要负责协助解决问题，对服务对象</w:t>
      </w:r>
      <w:r>
        <w:rPr>
          <w:rFonts w:hint="eastAsia"/>
          <w:spacing w:val="10"/>
          <w:sz w:val="24"/>
        </w:rPr>
        <w:t>在生产过程</w:t>
      </w:r>
      <w:r>
        <w:rPr>
          <w:spacing w:val="10"/>
          <w:sz w:val="24"/>
        </w:rPr>
        <w:t>中存在的问题进行全过程闭环控制，保证发电企业设备安全、稳定、经济运行。</w:t>
      </w:r>
    </w:p>
    <w:p w14:paraId="4CC5588F">
      <w:pPr>
        <w:spacing w:line="360" w:lineRule="auto"/>
        <w:rPr>
          <w:rFonts w:hint="eastAsia"/>
          <w:spacing w:val="10"/>
          <w:sz w:val="24"/>
        </w:rPr>
      </w:pPr>
      <w:r>
        <w:rPr>
          <w:spacing w:val="10"/>
          <w:sz w:val="24"/>
        </w:rPr>
        <w:t>2.</w:t>
      </w:r>
      <w:r>
        <w:rPr>
          <w:rFonts w:hint="eastAsia"/>
          <w:spacing w:val="10"/>
          <w:sz w:val="24"/>
        </w:rPr>
        <w:t>5</w:t>
      </w:r>
      <w:r>
        <w:rPr>
          <w:spacing w:val="10"/>
          <w:sz w:val="24"/>
        </w:rPr>
        <w:t xml:space="preserve"> 乙方对服务对象由于</w:t>
      </w:r>
      <w:r>
        <w:rPr>
          <w:rFonts w:hint="eastAsia"/>
          <w:spacing w:val="10"/>
          <w:sz w:val="24"/>
        </w:rPr>
        <w:t>技术服务</w:t>
      </w:r>
      <w:r>
        <w:rPr>
          <w:spacing w:val="10"/>
          <w:sz w:val="24"/>
        </w:rPr>
        <w:t>不力而发生的设备损坏事故承担连带责任，并协助完成各项关键技术指标。</w:t>
      </w:r>
    </w:p>
    <w:p w14:paraId="6CDA7BA0">
      <w:pPr>
        <w:keepNext/>
        <w:keepLines/>
        <w:widowControl w:val="0"/>
        <w:snapToGrid w:val="0"/>
        <w:spacing w:before="156" w:beforeLines="50" w:after="156" w:afterLines="50" w:line="360" w:lineRule="auto"/>
        <w:jc w:val="center"/>
        <w:outlineLvl w:val="1"/>
        <w:rPr>
          <w:rFonts w:hint="eastAsia" w:ascii="Times New Roman" w:hAnsi="Arial"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3  </w:t>
      </w:r>
      <w:r>
        <w:rPr>
          <w:rFonts w:hint="eastAsia" w:ascii="Times New Roman" w:hAnsi="Arial" w:eastAsia="宋体" w:cs="Times New Roman"/>
          <w:b/>
          <w:bCs/>
          <w:kern w:val="2"/>
          <w:sz w:val="32"/>
          <w:szCs w:val="32"/>
          <w:lang w:val="en-US" w:eastAsia="zh-CN" w:bidi="ar-SA"/>
        </w:rPr>
        <w:t>技术监督及技术服务内容</w:t>
      </w:r>
    </w:p>
    <w:p w14:paraId="12ACE1CA">
      <w:pPr>
        <w:spacing w:line="360" w:lineRule="auto"/>
        <w:rPr>
          <w:rFonts w:hint="eastAsia"/>
          <w:bCs/>
          <w:sz w:val="24"/>
          <w:u w:val="single"/>
        </w:rPr>
      </w:pPr>
      <w:r>
        <w:rPr>
          <w:rFonts w:hint="eastAsia"/>
          <w:sz w:val="24"/>
        </w:rPr>
        <w:t>3.1 技术服务的目标：</w:t>
      </w:r>
      <w:r>
        <w:rPr>
          <w:rFonts w:hint="eastAsia"/>
          <w:sz w:val="24"/>
          <w:u w:val="single"/>
        </w:rPr>
        <w:t>乙方通过对</w:t>
      </w:r>
      <w:r>
        <w:rPr>
          <w:rFonts w:hint="eastAsia" w:eastAsia="宋体"/>
          <w:b/>
          <w:bCs/>
          <w:sz w:val="24"/>
          <w:u w:val="single"/>
          <w:lang w:eastAsia="zh-CN"/>
        </w:rPr>
        <w:t>阳朔县深能环保有限公司</w:t>
      </w:r>
      <w:r>
        <w:rPr>
          <w:rFonts w:hint="eastAsia"/>
          <w:b/>
          <w:bCs/>
          <w:sz w:val="24"/>
          <w:u w:val="single"/>
        </w:rPr>
        <w:t>202</w:t>
      </w:r>
      <w:r>
        <w:rPr>
          <w:rFonts w:hint="eastAsia"/>
          <w:b/>
          <w:bCs/>
          <w:sz w:val="24"/>
          <w:u w:val="single"/>
          <w:lang w:val="en-US" w:eastAsia="zh-CN"/>
        </w:rPr>
        <w:t>6</w:t>
      </w:r>
      <w:r>
        <w:rPr>
          <w:rFonts w:hint="eastAsia"/>
          <w:b/>
          <w:bCs/>
          <w:sz w:val="24"/>
          <w:u w:val="single"/>
        </w:rPr>
        <w:t>年度技术监督工作服务，</w:t>
      </w:r>
      <w:r>
        <w:rPr>
          <w:rFonts w:hint="eastAsia"/>
          <w:bCs/>
          <w:sz w:val="24"/>
          <w:u w:val="single"/>
        </w:rPr>
        <w:t>提供正式的技术监督报告。</w:t>
      </w:r>
    </w:p>
    <w:p w14:paraId="3E74E38E">
      <w:pPr>
        <w:spacing w:line="360" w:lineRule="auto"/>
        <w:rPr>
          <w:rFonts w:hint="eastAsia"/>
          <w:sz w:val="24"/>
        </w:rPr>
      </w:pPr>
      <w:r>
        <w:rPr>
          <w:rFonts w:hint="eastAsia"/>
          <w:bCs/>
          <w:sz w:val="24"/>
          <w:u w:val="single"/>
        </w:rPr>
        <w:t>3.2</w:t>
      </w:r>
      <w:r>
        <w:rPr>
          <w:rFonts w:hint="eastAsia"/>
          <w:sz w:val="24"/>
        </w:rPr>
        <w:t>技术监督服务范围</w:t>
      </w:r>
    </w:p>
    <w:p w14:paraId="497C5705">
      <w:pPr>
        <w:spacing w:line="360" w:lineRule="auto"/>
        <w:ind w:firstLine="480" w:firstLineChars="200"/>
      </w:pPr>
      <w:r>
        <w:rPr>
          <w:rFonts w:hint="eastAsia"/>
          <w:sz w:val="24"/>
        </w:rPr>
        <w:t>在合同期间乙方对</w:t>
      </w:r>
      <w:r>
        <w:rPr>
          <w:rFonts w:hint="eastAsia" w:ascii="Times New Roman" w:eastAsia="宋体"/>
          <w:sz w:val="24"/>
          <w:lang w:val="en-US" w:eastAsia="zh-CN"/>
        </w:rPr>
        <w:t>阳朔县深能</w:t>
      </w:r>
      <w:r>
        <w:rPr>
          <w:rFonts w:hint="eastAsia"/>
          <w:sz w:val="24"/>
        </w:rPr>
        <w:t>环保有限公司1</w:t>
      </w:r>
      <w:r>
        <w:rPr>
          <w:sz w:val="24"/>
        </w:rPr>
        <w:t>*</w:t>
      </w:r>
      <w:r>
        <w:rPr>
          <w:rFonts w:hint="eastAsia" w:ascii="Times New Roman" w:eastAsia="宋体"/>
          <w:sz w:val="24"/>
          <w:lang w:val="en-US" w:eastAsia="zh-CN"/>
        </w:rPr>
        <w:t>25</w:t>
      </w:r>
      <w:r>
        <w:rPr>
          <w:sz w:val="24"/>
        </w:rPr>
        <w:t xml:space="preserve">MW </w:t>
      </w:r>
      <w:r>
        <w:rPr>
          <w:rFonts w:hint="eastAsia"/>
          <w:sz w:val="24"/>
        </w:rPr>
        <w:t>机组的金属、化学、环保、绝缘、电测、热工、锅炉、汽机、节能、励磁、继保、自动化等</w:t>
      </w:r>
      <w:r>
        <w:rPr>
          <w:sz w:val="24"/>
        </w:rPr>
        <w:t>1</w:t>
      </w:r>
      <w:r>
        <w:rPr>
          <w:rFonts w:hint="eastAsia"/>
          <w:sz w:val="24"/>
        </w:rPr>
        <w:t>4</w:t>
      </w:r>
      <w:r>
        <w:rPr>
          <w:sz w:val="24"/>
        </w:rPr>
        <w:t xml:space="preserve"> </w:t>
      </w:r>
      <w:r>
        <w:rPr>
          <w:rFonts w:hint="eastAsia"/>
          <w:sz w:val="24"/>
        </w:rPr>
        <w:t>专业进行技术监督管理。</w:t>
      </w:r>
    </w:p>
    <w:p w14:paraId="2A024A3A">
      <w:pPr>
        <w:spacing w:line="360" w:lineRule="auto"/>
        <w:rPr>
          <w:rFonts w:hint="eastAsia"/>
          <w:b/>
          <w:spacing w:val="10"/>
          <w:sz w:val="24"/>
        </w:rPr>
      </w:pPr>
      <w:r>
        <w:rPr>
          <w:rFonts w:hint="eastAsia"/>
          <w:b/>
          <w:spacing w:val="10"/>
          <w:sz w:val="24"/>
        </w:rPr>
        <w:t>3.3 技术监督的内容</w:t>
      </w:r>
    </w:p>
    <w:p w14:paraId="4653DA81">
      <w:pPr>
        <w:snapToGrid w:val="0"/>
        <w:spacing w:before="60" w:line="360" w:lineRule="auto"/>
        <w:ind w:firstLine="480" w:firstLineChars="200"/>
        <w:rPr>
          <w:sz w:val="24"/>
        </w:rPr>
      </w:pPr>
      <w:r>
        <w:rPr>
          <w:rFonts w:hint="eastAsia"/>
          <w:sz w:val="24"/>
        </w:rPr>
        <w:t>乙方负责整个技术监督工作的的协调管理：</w:t>
      </w:r>
    </w:p>
    <w:p w14:paraId="27229DBC">
      <w:pPr>
        <w:snapToGrid w:val="0"/>
        <w:spacing w:before="60" w:line="360" w:lineRule="auto"/>
        <w:ind w:firstLine="480" w:firstLineChars="200"/>
        <w:rPr>
          <w:sz w:val="24"/>
        </w:rPr>
      </w:pPr>
      <w:r>
        <w:rPr>
          <w:sz w:val="24"/>
        </w:rPr>
        <w:t>3.</w:t>
      </w:r>
      <w:r>
        <w:rPr>
          <w:rFonts w:hint="eastAsia"/>
          <w:sz w:val="24"/>
        </w:rPr>
        <w:t>3.1</w:t>
      </w:r>
      <w:r>
        <w:rPr>
          <w:spacing w:val="10"/>
          <w:sz w:val="24"/>
        </w:rPr>
        <w:t>指导、协助甲方</w:t>
      </w:r>
      <w:r>
        <w:rPr>
          <w:spacing w:val="10"/>
          <w:kern w:val="0"/>
          <w:sz w:val="24"/>
        </w:rPr>
        <w:t>按照</w:t>
      </w:r>
      <w:r>
        <w:rPr>
          <w:rFonts w:hint="eastAsia"/>
          <w:spacing w:val="10"/>
          <w:kern w:val="0"/>
          <w:sz w:val="24"/>
        </w:rPr>
        <w:t>相关规定</w:t>
      </w:r>
      <w:r>
        <w:rPr>
          <w:spacing w:val="10"/>
          <w:kern w:val="0"/>
          <w:sz w:val="24"/>
        </w:rPr>
        <w:t>开展技术</w:t>
      </w:r>
      <w:r>
        <w:rPr>
          <w:rFonts w:hint="eastAsia"/>
          <w:spacing w:val="10"/>
          <w:kern w:val="0"/>
          <w:sz w:val="24"/>
        </w:rPr>
        <w:t>监控</w:t>
      </w:r>
      <w:r>
        <w:rPr>
          <w:spacing w:val="10"/>
          <w:kern w:val="0"/>
          <w:sz w:val="24"/>
        </w:rPr>
        <w:t>工作</w:t>
      </w:r>
      <w:r>
        <w:rPr>
          <w:spacing w:val="10"/>
          <w:sz w:val="24"/>
        </w:rPr>
        <w:t>；</w:t>
      </w:r>
    </w:p>
    <w:p w14:paraId="3C827AED">
      <w:pPr>
        <w:snapToGrid w:val="0"/>
        <w:spacing w:before="60" w:line="360" w:lineRule="auto"/>
        <w:ind w:firstLine="480" w:firstLineChars="200"/>
        <w:rPr>
          <w:sz w:val="24"/>
        </w:rPr>
      </w:pPr>
      <w:r>
        <w:rPr>
          <w:sz w:val="24"/>
        </w:rPr>
        <w:t>3.</w:t>
      </w:r>
      <w:r>
        <w:rPr>
          <w:rFonts w:hint="eastAsia"/>
          <w:sz w:val="24"/>
        </w:rPr>
        <w:t>3.2</w:t>
      </w:r>
      <w:r>
        <w:rPr>
          <w:sz w:val="24"/>
        </w:rPr>
        <w:t xml:space="preserve"> </w:t>
      </w:r>
      <w:r>
        <w:rPr>
          <w:rFonts w:hint="eastAsia"/>
          <w:sz w:val="24"/>
        </w:rPr>
        <w:t>根据政府主管部门、行业主管部门以及电网公司的重点工作安排，不定期开展专项技术监督检查，对存在的问题进行研究并提出对策。</w:t>
      </w:r>
    </w:p>
    <w:p w14:paraId="6960F578">
      <w:pPr>
        <w:snapToGrid w:val="0"/>
        <w:spacing w:before="60" w:line="360" w:lineRule="auto"/>
        <w:ind w:firstLine="480" w:firstLineChars="200"/>
        <w:rPr>
          <w:sz w:val="24"/>
        </w:rPr>
      </w:pPr>
      <w:r>
        <w:rPr>
          <w:sz w:val="24"/>
        </w:rPr>
        <w:t>3.</w:t>
      </w:r>
      <w:r>
        <w:rPr>
          <w:rFonts w:hint="eastAsia"/>
          <w:sz w:val="24"/>
        </w:rPr>
        <w:t>3.3</w:t>
      </w:r>
      <w:r>
        <w:rPr>
          <w:spacing w:val="10"/>
          <w:sz w:val="24"/>
        </w:rPr>
        <w:t>与甲方共同制定技术</w:t>
      </w:r>
      <w:r>
        <w:rPr>
          <w:rFonts w:hint="eastAsia"/>
          <w:spacing w:val="10"/>
          <w:sz w:val="24"/>
        </w:rPr>
        <w:t>服务</w:t>
      </w:r>
      <w:r>
        <w:rPr>
          <w:spacing w:val="10"/>
          <w:sz w:val="24"/>
        </w:rPr>
        <w:t>工作规划与计划</w:t>
      </w:r>
      <w:r>
        <w:rPr>
          <w:rFonts w:hint="eastAsia"/>
          <w:spacing w:val="10"/>
          <w:sz w:val="24"/>
        </w:rPr>
        <w:t>，</w:t>
      </w:r>
      <w:r>
        <w:rPr>
          <w:rFonts w:hint="eastAsia"/>
          <w:sz w:val="24"/>
        </w:rPr>
        <w:t>定期（每年</w:t>
      </w:r>
      <w:r>
        <w:rPr>
          <w:sz w:val="24"/>
        </w:rPr>
        <w:t xml:space="preserve">1 </w:t>
      </w:r>
      <w:r>
        <w:rPr>
          <w:rFonts w:hint="eastAsia"/>
          <w:sz w:val="24"/>
        </w:rPr>
        <w:t>次）组织有关专家到甲方按相关规定进行技术监督工作检查和考核工作，提交检查评价报告给甲方；</w:t>
      </w:r>
    </w:p>
    <w:p w14:paraId="5200AEAE">
      <w:pPr>
        <w:snapToGrid w:val="0"/>
        <w:spacing w:before="60" w:line="360" w:lineRule="auto"/>
        <w:ind w:firstLine="480" w:firstLineChars="200"/>
        <w:rPr>
          <w:sz w:val="24"/>
        </w:rPr>
      </w:pPr>
      <w:r>
        <w:rPr>
          <w:sz w:val="24"/>
        </w:rPr>
        <w:t>3.</w:t>
      </w:r>
      <w:r>
        <w:rPr>
          <w:rFonts w:hint="eastAsia"/>
          <w:sz w:val="24"/>
        </w:rPr>
        <w:t>3.4</w:t>
      </w:r>
      <w:r>
        <w:rPr>
          <w:spacing w:val="10"/>
          <w:sz w:val="24"/>
        </w:rPr>
        <w:t>各专业建立甲方需要认证的专业人员档案，按有关规定对甲方的上述人员进行培训，组织上述人员进行取证</w:t>
      </w:r>
      <w:r>
        <w:rPr>
          <w:rFonts w:hint="eastAsia"/>
          <w:spacing w:val="10"/>
          <w:sz w:val="24"/>
        </w:rPr>
        <w:t>，并组织对相关证件按规定进行审检。乙方开展的取证范围为：电厂化学水处理、电厂化学水分析、油分析、六氟化硫分析、色谱分析</w:t>
      </w:r>
      <w:r>
        <w:rPr>
          <w:rFonts w:hint="eastAsia"/>
          <w:sz w:val="24"/>
        </w:rPr>
        <w:t>；</w:t>
      </w:r>
    </w:p>
    <w:p w14:paraId="08F001E5">
      <w:pPr>
        <w:snapToGrid w:val="0"/>
        <w:spacing w:before="60" w:line="360" w:lineRule="auto"/>
        <w:ind w:firstLine="480" w:firstLineChars="200"/>
        <w:rPr>
          <w:sz w:val="24"/>
        </w:rPr>
      </w:pPr>
      <w:r>
        <w:rPr>
          <w:sz w:val="24"/>
        </w:rPr>
        <w:t>3.</w:t>
      </w:r>
      <w:r>
        <w:rPr>
          <w:rFonts w:hint="eastAsia"/>
          <w:sz w:val="24"/>
        </w:rPr>
        <w:t>3.5</w:t>
      </w:r>
      <w:r>
        <w:rPr>
          <w:sz w:val="24"/>
        </w:rPr>
        <w:t xml:space="preserve"> </w:t>
      </w:r>
      <w:r>
        <w:rPr>
          <w:rFonts w:hint="eastAsia"/>
          <w:sz w:val="24"/>
        </w:rPr>
        <w:t>审查甲方制定机组技术监督年度工作计划、重大技术措施、技术改造方案，提出意见或建议，协助甲方上级部门对机组的技术监督工作进行检查、指导和考核；</w:t>
      </w:r>
    </w:p>
    <w:p w14:paraId="6D47512C">
      <w:pPr>
        <w:snapToGrid w:val="0"/>
        <w:spacing w:before="60" w:line="360" w:lineRule="auto"/>
        <w:ind w:firstLine="480" w:firstLineChars="200"/>
        <w:rPr>
          <w:sz w:val="24"/>
        </w:rPr>
      </w:pPr>
      <w:r>
        <w:rPr>
          <w:sz w:val="24"/>
        </w:rPr>
        <w:t>3.</w:t>
      </w:r>
      <w:r>
        <w:rPr>
          <w:rFonts w:hint="eastAsia"/>
          <w:sz w:val="24"/>
        </w:rPr>
        <w:t>3.6每年向甲方提供乙方上年度技术监督工作总结，并对下一年度的重点工作提出建议；</w:t>
      </w:r>
    </w:p>
    <w:p w14:paraId="5260816F">
      <w:pPr>
        <w:snapToGrid w:val="0"/>
        <w:spacing w:before="60" w:line="360" w:lineRule="auto"/>
        <w:ind w:firstLine="480" w:firstLineChars="200"/>
        <w:rPr>
          <w:sz w:val="24"/>
        </w:rPr>
      </w:pPr>
      <w:r>
        <w:rPr>
          <w:sz w:val="24"/>
        </w:rPr>
        <w:t>3.</w:t>
      </w:r>
      <w:r>
        <w:rPr>
          <w:rFonts w:hint="eastAsia"/>
          <w:sz w:val="24"/>
        </w:rPr>
        <w:t>3.7组织召开各专业技术监督年度工作会议，总结、交流和推广技术监督的工作经验和先进技术；</w:t>
      </w:r>
    </w:p>
    <w:p w14:paraId="2E55E94D">
      <w:pPr>
        <w:snapToGrid w:val="0"/>
        <w:spacing w:before="60" w:line="360" w:lineRule="auto"/>
        <w:ind w:firstLine="480" w:firstLineChars="200"/>
        <w:rPr>
          <w:rFonts w:hint="eastAsia"/>
          <w:sz w:val="24"/>
        </w:rPr>
      </w:pPr>
      <w:r>
        <w:rPr>
          <w:sz w:val="24"/>
        </w:rPr>
        <w:t>3.</w:t>
      </w:r>
      <w:r>
        <w:rPr>
          <w:rFonts w:hint="eastAsia"/>
          <w:sz w:val="24"/>
        </w:rPr>
        <w:t>3.8甲方机组发电设备发生事故或运行中出现重大异常等情况，乙方在接到电厂的要求后，及时派有关技术人员赶赴现场（</w:t>
      </w:r>
      <w:r>
        <w:rPr>
          <w:rFonts w:hint="eastAsia"/>
          <w:spacing w:val="10"/>
          <w:sz w:val="24"/>
        </w:rPr>
        <w:t>每年不超过3次现场事故调查分析指导</w:t>
      </w:r>
      <w:r>
        <w:rPr>
          <w:rFonts w:hint="eastAsia"/>
          <w:sz w:val="24"/>
        </w:rPr>
        <w:t>），协助进行事故或异常调查分析，并提出处理意见，制定相应的反事故措施；对甲方制定的反事故措施提出完善建议；</w:t>
      </w:r>
    </w:p>
    <w:p w14:paraId="098F43B4">
      <w:pPr>
        <w:snapToGrid w:val="0"/>
        <w:spacing w:before="60" w:line="360" w:lineRule="auto"/>
        <w:ind w:firstLine="520" w:firstLineChars="200"/>
        <w:rPr>
          <w:sz w:val="24"/>
        </w:rPr>
      </w:pPr>
      <w:r>
        <w:rPr>
          <w:rFonts w:hint="eastAsia"/>
          <w:spacing w:val="10"/>
          <w:sz w:val="24"/>
        </w:rPr>
        <w:t>3.3.9</w:t>
      </w:r>
      <w:r>
        <w:rPr>
          <w:spacing w:val="10"/>
          <w:sz w:val="24"/>
        </w:rPr>
        <w:t>在甲方机组大</w:t>
      </w:r>
      <w:r>
        <w:rPr>
          <w:rFonts w:hint="eastAsia"/>
          <w:spacing w:val="10"/>
          <w:sz w:val="24"/>
        </w:rPr>
        <w:t>、小</w:t>
      </w:r>
      <w:r>
        <w:rPr>
          <w:spacing w:val="10"/>
          <w:sz w:val="24"/>
        </w:rPr>
        <w:t>修时，根据需要派金属、化学、环保、绝缘、电测、热工、</w:t>
      </w:r>
      <w:r>
        <w:rPr>
          <w:rFonts w:hint="eastAsia"/>
          <w:spacing w:val="10"/>
          <w:sz w:val="24"/>
        </w:rPr>
        <w:t>汽轮机、</w:t>
      </w:r>
      <w:r>
        <w:rPr>
          <w:spacing w:val="10"/>
          <w:sz w:val="24"/>
        </w:rPr>
        <w:t>压力容器及承压部件、励磁、系统等专业的技术人员开展技术</w:t>
      </w:r>
      <w:r>
        <w:rPr>
          <w:rFonts w:hint="eastAsia"/>
          <w:spacing w:val="10"/>
          <w:sz w:val="24"/>
        </w:rPr>
        <w:t>咨询</w:t>
      </w:r>
      <w:r>
        <w:rPr>
          <w:spacing w:val="10"/>
          <w:sz w:val="24"/>
        </w:rPr>
        <w:t>工作。</w:t>
      </w:r>
    </w:p>
    <w:p w14:paraId="0E71E7BD">
      <w:pPr>
        <w:snapToGrid w:val="0"/>
        <w:spacing w:before="60" w:line="360" w:lineRule="auto"/>
        <w:ind w:firstLine="480" w:firstLineChars="200"/>
        <w:rPr>
          <w:sz w:val="24"/>
        </w:rPr>
      </w:pPr>
      <w:r>
        <w:rPr>
          <w:sz w:val="24"/>
        </w:rPr>
        <w:t>3.</w:t>
      </w:r>
      <w:r>
        <w:rPr>
          <w:rFonts w:hint="eastAsia"/>
          <w:sz w:val="24"/>
        </w:rPr>
        <w:t>3.10</w:t>
      </w:r>
      <w:r>
        <w:rPr>
          <w:sz w:val="24"/>
        </w:rPr>
        <w:t xml:space="preserve"> </w:t>
      </w:r>
      <w:r>
        <w:rPr>
          <w:rFonts w:hint="eastAsia"/>
          <w:sz w:val="24"/>
        </w:rPr>
        <w:t>向甲方提供技术监督文件、资料以及按上级的有关技术标准、规程、规定和反事故措施，组织有关专业人员参加的培训班、专业会议；</w:t>
      </w:r>
    </w:p>
    <w:p w14:paraId="3E7A17F0">
      <w:pPr>
        <w:snapToGrid w:val="0"/>
        <w:spacing w:before="60" w:line="360" w:lineRule="auto"/>
        <w:ind w:firstLine="480" w:firstLineChars="200"/>
        <w:rPr>
          <w:sz w:val="24"/>
        </w:rPr>
      </w:pPr>
      <w:r>
        <w:rPr>
          <w:sz w:val="24"/>
        </w:rPr>
        <w:t>3.</w:t>
      </w:r>
      <w:r>
        <w:rPr>
          <w:rFonts w:hint="eastAsia"/>
          <w:sz w:val="24"/>
        </w:rPr>
        <w:t>3.11定期编辑出版和发行《广西电力技术监督月报》和《全国电力安全生产技术信息》等刊物，传递和交流电力科技成果、新技术、新产品、新工艺、新设计等信息。对电力行业标准、规程、规定和颁布、更改与替代情况，及时通知甲方；</w:t>
      </w:r>
    </w:p>
    <w:p w14:paraId="5264A2F0">
      <w:pPr>
        <w:snapToGrid w:val="0"/>
        <w:spacing w:before="60" w:line="360" w:lineRule="auto"/>
        <w:ind w:firstLine="480" w:firstLineChars="200"/>
        <w:rPr>
          <w:sz w:val="24"/>
        </w:rPr>
      </w:pPr>
      <w:r>
        <w:rPr>
          <w:sz w:val="24"/>
        </w:rPr>
        <w:t>3.</w:t>
      </w:r>
      <w:r>
        <w:rPr>
          <w:rFonts w:hint="eastAsia"/>
          <w:sz w:val="24"/>
        </w:rPr>
        <w:t>3.12协助甲方针对机组搞好各专业技术人员的技能培训及岗位考核工作；</w:t>
      </w:r>
    </w:p>
    <w:p w14:paraId="56A664F1">
      <w:pPr>
        <w:snapToGrid w:val="0"/>
        <w:spacing w:before="60" w:line="360" w:lineRule="auto"/>
        <w:ind w:firstLine="480" w:firstLineChars="200"/>
        <w:rPr>
          <w:rFonts w:hint="eastAsia"/>
          <w:sz w:val="24"/>
        </w:rPr>
      </w:pPr>
      <w:r>
        <w:rPr>
          <w:sz w:val="24"/>
        </w:rPr>
        <w:t>3.</w:t>
      </w:r>
      <w:r>
        <w:rPr>
          <w:rFonts w:hint="eastAsia"/>
          <w:sz w:val="24"/>
        </w:rPr>
        <w:t>3.13不断完善和更新测试手段，研究、开发和推广新技术，为甲方更好地搞好技术监督工作提供支持；</w:t>
      </w:r>
    </w:p>
    <w:p w14:paraId="777EA0B8">
      <w:pPr>
        <w:spacing w:line="360" w:lineRule="auto"/>
        <w:ind w:firstLine="520" w:firstLineChars="200"/>
        <w:rPr>
          <w:rFonts w:hint="eastAsia"/>
          <w:spacing w:val="10"/>
          <w:sz w:val="24"/>
        </w:rPr>
      </w:pPr>
      <w:r>
        <w:rPr>
          <w:spacing w:val="10"/>
          <w:sz w:val="24"/>
        </w:rPr>
        <w:t>3.</w:t>
      </w:r>
      <w:r>
        <w:rPr>
          <w:rFonts w:hint="eastAsia"/>
          <w:spacing w:val="10"/>
          <w:sz w:val="24"/>
        </w:rPr>
        <w:t>3</w:t>
      </w:r>
      <w:r>
        <w:rPr>
          <w:spacing w:val="10"/>
          <w:sz w:val="24"/>
        </w:rPr>
        <w:t>.1</w:t>
      </w:r>
      <w:r>
        <w:rPr>
          <w:rFonts w:hint="eastAsia"/>
          <w:spacing w:val="10"/>
          <w:sz w:val="24"/>
        </w:rPr>
        <w:t xml:space="preserve">4 </w:t>
      </w:r>
      <w:r>
        <w:rPr>
          <w:spacing w:val="10"/>
          <w:sz w:val="24"/>
        </w:rPr>
        <w:t>按</w:t>
      </w:r>
      <w:r>
        <w:rPr>
          <w:rFonts w:hint="eastAsia"/>
          <w:spacing w:val="10"/>
          <w:sz w:val="24"/>
        </w:rPr>
        <w:t>相关规定，</w:t>
      </w:r>
      <w:r>
        <w:rPr>
          <w:spacing w:val="10"/>
          <w:sz w:val="24"/>
        </w:rPr>
        <w:t>对发现甲方存在的重大问题进行预警</w:t>
      </w:r>
      <w:r>
        <w:rPr>
          <w:rFonts w:hint="eastAsia"/>
          <w:spacing w:val="10"/>
          <w:sz w:val="24"/>
        </w:rPr>
        <w:t>。</w:t>
      </w:r>
    </w:p>
    <w:p w14:paraId="6E6F7D25">
      <w:pPr>
        <w:snapToGrid w:val="0"/>
        <w:spacing w:before="60" w:line="360" w:lineRule="auto"/>
        <w:ind w:firstLine="480" w:firstLineChars="200"/>
        <w:rPr>
          <w:sz w:val="24"/>
        </w:rPr>
      </w:pPr>
    </w:p>
    <w:p w14:paraId="5CA8F06F">
      <w:pPr>
        <w:snapToGrid w:val="0"/>
        <w:spacing w:before="60" w:line="360" w:lineRule="auto"/>
        <w:rPr>
          <w:sz w:val="24"/>
        </w:rPr>
      </w:pPr>
      <w:r>
        <w:rPr>
          <w:rFonts w:hint="eastAsia"/>
          <w:sz w:val="24"/>
        </w:rPr>
        <w:t>3.4、技术监</w:t>
      </w:r>
      <w:r>
        <w:rPr>
          <w:sz w:val="24"/>
        </w:rPr>
        <w:t>督</w:t>
      </w:r>
      <w:r>
        <w:rPr>
          <w:rFonts w:hint="eastAsia"/>
          <w:sz w:val="24"/>
        </w:rPr>
        <w:t>工</w:t>
      </w:r>
      <w:r>
        <w:rPr>
          <w:sz w:val="24"/>
        </w:rPr>
        <w:t>作的</w:t>
      </w:r>
      <w:r>
        <w:rPr>
          <w:rFonts w:hint="eastAsia"/>
          <w:sz w:val="24"/>
        </w:rPr>
        <w:t>方式</w:t>
      </w:r>
      <w:r>
        <w:rPr>
          <w:sz w:val="24"/>
        </w:rPr>
        <w:t>及要求:</w:t>
      </w:r>
    </w:p>
    <w:p w14:paraId="11725776">
      <w:pPr>
        <w:snapToGrid w:val="0"/>
        <w:spacing w:before="60" w:line="360" w:lineRule="auto"/>
        <w:ind w:firstLine="600" w:firstLineChars="250"/>
        <w:rPr>
          <w:sz w:val="24"/>
        </w:rPr>
      </w:pPr>
      <w:r>
        <w:rPr>
          <w:rFonts w:hint="eastAsia"/>
          <w:sz w:val="24"/>
        </w:rPr>
        <w:t>根据国家和行业各项电力技术监督的技术标准、规定、导则及电厂编制的技术监督管理办法、标准，对电厂在役运行机组及其他设备设施实施全过程、全方位的技术监督服务，主要包括进行技术监督现场服务，参加电厂重大技术措施、技术改造方案的审查与技术指导，以及科技创新指导，提供技术资料，开展技术交流，提供专业取证培训信息，推动新技术推广应用等工作。各专业的具体服务内容见附表一。</w:t>
      </w:r>
    </w:p>
    <w:p w14:paraId="78CEE0AE">
      <w:pPr>
        <w:snapToGrid w:val="0"/>
        <w:spacing w:before="60" w:line="360" w:lineRule="auto"/>
        <w:ind w:firstLine="480" w:firstLineChars="200"/>
        <w:rPr>
          <w:rFonts w:ascii="宋体" w:cs="宋体"/>
          <w:kern w:val="0"/>
          <w:sz w:val="24"/>
        </w:rPr>
      </w:pPr>
      <w:r>
        <w:rPr>
          <w:rFonts w:hint="eastAsia"/>
          <w:sz w:val="24"/>
        </w:rPr>
        <w:t>本技术监督服务同时包含协助电厂推进科技创新及科技成果应用工作，协助电厂各专业开展科技创新（含实用型专利）及科技成果评审，对电厂编写科技创新（含实用型专利）及科技成果申报材料给予技术指导，指导电厂开展实用型专利申报工作。</w:t>
      </w:r>
    </w:p>
    <w:p w14:paraId="0D27560D">
      <w:pPr>
        <w:spacing w:line="360" w:lineRule="auto"/>
        <w:rPr>
          <w:rFonts w:hint="eastAsia"/>
          <w:spacing w:val="10"/>
          <w:sz w:val="24"/>
        </w:rPr>
      </w:pPr>
      <w:r>
        <w:rPr>
          <w:b/>
          <w:spacing w:val="10"/>
          <w:sz w:val="24"/>
        </w:rPr>
        <w:tab/>
      </w:r>
      <w:r>
        <w:rPr>
          <w:spacing w:val="10"/>
          <w:sz w:val="24"/>
        </w:rPr>
        <w:t>甲方发电设备发生</w:t>
      </w:r>
      <w:r>
        <w:rPr>
          <w:rFonts w:hint="eastAsia"/>
          <w:spacing w:val="10"/>
          <w:sz w:val="24"/>
        </w:rPr>
        <w:t>重大</w:t>
      </w:r>
      <w:r>
        <w:rPr>
          <w:spacing w:val="10"/>
          <w:sz w:val="24"/>
        </w:rPr>
        <w:t>事故或运行中出现异常等情况</w:t>
      </w:r>
      <w:r>
        <w:rPr>
          <w:rFonts w:hint="eastAsia"/>
          <w:spacing w:val="10"/>
          <w:sz w:val="24"/>
        </w:rPr>
        <w:t>需要乙方提供现场服务的</w:t>
      </w:r>
      <w:r>
        <w:rPr>
          <w:spacing w:val="10"/>
          <w:sz w:val="24"/>
        </w:rPr>
        <w:t>，</w:t>
      </w:r>
      <w:r>
        <w:rPr>
          <w:rFonts w:hint="eastAsia"/>
          <w:spacing w:val="10"/>
          <w:sz w:val="24"/>
        </w:rPr>
        <w:t>乙方应按以下要求提供服务：</w:t>
      </w:r>
    </w:p>
    <w:p w14:paraId="462EB643">
      <w:pPr>
        <w:spacing w:line="360" w:lineRule="auto"/>
        <w:ind w:firstLine="390" w:firstLineChars="150"/>
        <w:rPr>
          <w:rFonts w:hint="eastAsia"/>
          <w:spacing w:val="10"/>
          <w:sz w:val="24"/>
        </w:rPr>
      </w:pPr>
      <w:r>
        <w:rPr>
          <w:rFonts w:hint="eastAsia"/>
          <w:spacing w:val="10"/>
          <w:sz w:val="24"/>
        </w:rPr>
        <w:t>3.4.1</w:t>
      </w:r>
      <w:r>
        <w:rPr>
          <w:spacing w:val="10"/>
          <w:sz w:val="24"/>
        </w:rPr>
        <w:t>在</w:t>
      </w:r>
      <w:r>
        <w:rPr>
          <w:rFonts w:hint="eastAsia"/>
          <w:spacing w:val="10"/>
          <w:sz w:val="24"/>
        </w:rPr>
        <w:t>工作日工作时间，乙方应在接到</w:t>
      </w:r>
      <w:r>
        <w:rPr>
          <w:spacing w:val="10"/>
          <w:sz w:val="24"/>
        </w:rPr>
        <w:t>甲方</w:t>
      </w:r>
      <w:r>
        <w:rPr>
          <w:rFonts w:hint="eastAsia"/>
          <w:spacing w:val="10"/>
          <w:sz w:val="24"/>
        </w:rPr>
        <w:t>请求现场服务</w:t>
      </w:r>
      <w:r>
        <w:rPr>
          <w:spacing w:val="10"/>
          <w:sz w:val="24"/>
        </w:rPr>
        <w:t>通知后</w:t>
      </w:r>
      <w:r>
        <w:rPr>
          <w:rFonts w:hint="eastAsia"/>
          <w:spacing w:val="10"/>
          <w:sz w:val="24"/>
        </w:rPr>
        <w:t>8</w:t>
      </w:r>
      <w:r>
        <w:rPr>
          <w:spacing w:val="10"/>
          <w:sz w:val="24"/>
        </w:rPr>
        <w:t>小时内应赶到现场服务</w:t>
      </w:r>
      <w:r>
        <w:rPr>
          <w:rFonts w:hint="eastAsia"/>
          <w:spacing w:val="10"/>
          <w:sz w:val="24"/>
        </w:rPr>
        <w:t>。</w:t>
      </w:r>
    </w:p>
    <w:p w14:paraId="3E2E7F79">
      <w:pPr>
        <w:spacing w:line="360" w:lineRule="auto"/>
        <w:ind w:firstLine="390" w:firstLineChars="150"/>
        <w:rPr>
          <w:rFonts w:hint="eastAsia"/>
          <w:spacing w:val="10"/>
          <w:sz w:val="24"/>
        </w:rPr>
      </w:pPr>
      <w:r>
        <w:rPr>
          <w:rFonts w:hint="eastAsia"/>
          <w:spacing w:val="10"/>
          <w:sz w:val="24"/>
        </w:rPr>
        <w:t>3.4.2</w:t>
      </w:r>
      <w:r>
        <w:rPr>
          <w:spacing w:val="10"/>
          <w:sz w:val="24"/>
        </w:rPr>
        <w:t>在</w:t>
      </w:r>
      <w:r>
        <w:rPr>
          <w:rFonts w:hint="eastAsia"/>
          <w:spacing w:val="10"/>
          <w:sz w:val="24"/>
        </w:rPr>
        <w:t>工作日非工作时间，乙方应在接到</w:t>
      </w:r>
      <w:r>
        <w:rPr>
          <w:spacing w:val="10"/>
          <w:sz w:val="24"/>
        </w:rPr>
        <w:t>甲方</w:t>
      </w:r>
      <w:r>
        <w:rPr>
          <w:rFonts w:hint="eastAsia"/>
          <w:spacing w:val="10"/>
          <w:sz w:val="24"/>
        </w:rPr>
        <w:t>请求现场服务</w:t>
      </w:r>
      <w:r>
        <w:rPr>
          <w:spacing w:val="10"/>
          <w:sz w:val="24"/>
        </w:rPr>
        <w:t>通知后</w:t>
      </w:r>
      <w:r>
        <w:rPr>
          <w:rFonts w:hint="eastAsia"/>
          <w:spacing w:val="10"/>
          <w:sz w:val="24"/>
        </w:rPr>
        <w:t>10</w:t>
      </w:r>
      <w:r>
        <w:rPr>
          <w:spacing w:val="10"/>
          <w:sz w:val="24"/>
        </w:rPr>
        <w:t>小时内应赶到现场服务</w:t>
      </w:r>
      <w:r>
        <w:rPr>
          <w:rFonts w:hint="eastAsia"/>
          <w:spacing w:val="10"/>
          <w:sz w:val="24"/>
        </w:rPr>
        <w:t>。</w:t>
      </w:r>
    </w:p>
    <w:p w14:paraId="4CF85957">
      <w:pPr>
        <w:spacing w:line="360" w:lineRule="auto"/>
        <w:ind w:firstLine="390" w:firstLineChars="150"/>
        <w:rPr>
          <w:rFonts w:hint="eastAsia"/>
          <w:spacing w:val="10"/>
          <w:sz w:val="24"/>
        </w:rPr>
      </w:pPr>
      <w:r>
        <w:rPr>
          <w:rFonts w:hint="eastAsia"/>
          <w:spacing w:val="10"/>
          <w:sz w:val="24"/>
        </w:rPr>
        <w:t>3.4.3</w:t>
      </w:r>
      <w:r>
        <w:rPr>
          <w:spacing w:val="10"/>
          <w:sz w:val="24"/>
        </w:rPr>
        <w:t>在</w:t>
      </w:r>
      <w:r>
        <w:rPr>
          <w:rFonts w:hint="eastAsia"/>
          <w:spacing w:val="10"/>
          <w:sz w:val="24"/>
        </w:rPr>
        <w:t>非工作日，乙方应在接到</w:t>
      </w:r>
      <w:r>
        <w:rPr>
          <w:spacing w:val="10"/>
          <w:sz w:val="24"/>
        </w:rPr>
        <w:t>甲方</w:t>
      </w:r>
      <w:r>
        <w:rPr>
          <w:rFonts w:hint="eastAsia"/>
          <w:spacing w:val="10"/>
          <w:sz w:val="24"/>
        </w:rPr>
        <w:t>请求现场服务</w:t>
      </w:r>
      <w:r>
        <w:rPr>
          <w:spacing w:val="10"/>
          <w:sz w:val="24"/>
        </w:rPr>
        <w:t>通知后</w:t>
      </w:r>
      <w:r>
        <w:rPr>
          <w:rFonts w:hint="eastAsia"/>
          <w:spacing w:val="10"/>
          <w:sz w:val="24"/>
        </w:rPr>
        <w:t>12</w:t>
      </w:r>
      <w:r>
        <w:rPr>
          <w:spacing w:val="10"/>
          <w:sz w:val="24"/>
        </w:rPr>
        <w:t>小时内应赶到现场服务</w:t>
      </w:r>
      <w:r>
        <w:rPr>
          <w:rFonts w:hint="eastAsia"/>
          <w:spacing w:val="10"/>
          <w:sz w:val="24"/>
        </w:rPr>
        <w:t>。</w:t>
      </w:r>
    </w:p>
    <w:p w14:paraId="5AF5D5F7">
      <w:pPr>
        <w:spacing w:line="360" w:lineRule="auto"/>
        <w:ind w:firstLine="390" w:firstLineChars="150"/>
        <w:rPr>
          <w:rFonts w:hint="eastAsia"/>
          <w:spacing w:val="10"/>
          <w:sz w:val="24"/>
        </w:rPr>
      </w:pPr>
      <w:r>
        <w:rPr>
          <w:rFonts w:hint="eastAsia"/>
          <w:spacing w:val="10"/>
          <w:sz w:val="24"/>
        </w:rPr>
        <w:t>3.4.4如果乙方不能按甲方通知要求的时间到达现场，甲方有权委托其他有资质的单位进行现场技术服务，由此产生的现场技术服务费用从本合同款中扣除。</w:t>
      </w:r>
    </w:p>
    <w:p w14:paraId="4A89ACEE">
      <w:pPr>
        <w:spacing w:line="360" w:lineRule="auto"/>
        <w:ind w:firstLine="390" w:firstLineChars="150"/>
        <w:rPr>
          <w:rFonts w:hint="eastAsia"/>
          <w:spacing w:val="10"/>
          <w:sz w:val="24"/>
        </w:rPr>
      </w:pPr>
      <w:r>
        <w:rPr>
          <w:rFonts w:hint="eastAsia"/>
          <w:spacing w:val="10"/>
          <w:sz w:val="24"/>
        </w:rPr>
        <w:t>3.4.5现场服务人员到达现场后应及时</w:t>
      </w:r>
      <w:r>
        <w:rPr>
          <w:spacing w:val="10"/>
          <w:sz w:val="24"/>
        </w:rPr>
        <w:t>协助进行事故或异常调查分析，并提出处理意见和反事故措施，如遇</w:t>
      </w:r>
      <w:r>
        <w:rPr>
          <w:rFonts w:hint="eastAsia"/>
          <w:spacing w:val="10"/>
          <w:sz w:val="24"/>
        </w:rPr>
        <w:t>到</w:t>
      </w:r>
      <w:r>
        <w:rPr>
          <w:spacing w:val="10"/>
          <w:sz w:val="24"/>
        </w:rPr>
        <w:t>复杂的生产、试验技术问题，乙方应派有经验的专家协助解决。</w:t>
      </w:r>
    </w:p>
    <w:p w14:paraId="5EAFA596">
      <w:pPr>
        <w:spacing w:line="360" w:lineRule="auto"/>
        <w:rPr>
          <w:rFonts w:hint="eastAsia"/>
          <w:sz w:val="24"/>
        </w:rPr>
      </w:pPr>
      <w:r>
        <w:rPr>
          <w:rFonts w:hint="eastAsia"/>
          <w:spacing w:val="10"/>
          <w:sz w:val="24"/>
        </w:rPr>
        <w:t xml:space="preserve">3.5 </w:t>
      </w:r>
      <w:r>
        <w:rPr>
          <w:rFonts w:hint="eastAsia"/>
          <w:sz w:val="24"/>
        </w:rPr>
        <w:t>技术监</w:t>
      </w:r>
      <w:r>
        <w:rPr>
          <w:sz w:val="24"/>
        </w:rPr>
        <w:t>督工作的</w:t>
      </w:r>
      <w:r>
        <w:rPr>
          <w:rFonts w:hint="eastAsia"/>
          <w:sz w:val="24"/>
        </w:rPr>
        <w:t>服务期限：</w:t>
      </w:r>
      <w:r>
        <w:rPr>
          <w:rFonts w:hint="eastAsia"/>
          <w:b/>
          <w:sz w:val="24"/>
        </w:rPr>
        <w:t>自</w:t>
      </w:r>
      <w:r>
        <w:rPr>
          <w:b/>
          <w:sz w:val="24"/>
        </w:rPr>
        <w:t xml:space="preserve">     </w:t>
      </w:r>
      <w:r>
        <w:rPr>
          <w:rFonts w:hint="eastAsia"/>
          <w:b/>
          <w:sz w:val="24"/>
        </w:rPr>
        <w:t>年  月    日起至</w:t>
      </w:r>
      <w:r>
        <w:rPr>
          <w:b/>
          <w:sz w:val="24"/>
        </w:rPr>
        <w:t xml:space="preserve">     </w:t>
      </w:r>
      <w:r>
        <w:rPr>
          <w:rFonts w:hint="eastAsia"/>
          <w:b/>
          <w:sz w:val="24"/>
        </w:rPr>
        <w:t>年  月    日止</w:t>
      </w:r>
      <w:r>
        <w:rPr>
          <w:rFonts w:hint="eastAsia"/>
          <w:sz w:val="24"/>
        </w:rPr>
        <w:t>。</w:t>
      </w:r>
    </w:p>
    <w:p w14:paraId="47FE1B27">
      <w:pPr>
        <w:spacing w:line="360" w:lineRule="auto"/>
        <w:rPr>
          <w:rFonts w:hint="eastAsia"/>
          <w:sz w:val="24"/>
        </w:rPr>
      </w:pPr>
      <w:r>
        <w:rPr>
          <w:rFonts w:hint="eastAsia"/>
          <w:spacing w:val="10"/>
          <w:sz w:val="24"/>
        </w:rPr>
        <w:t xml:space="preserve">3.6 </w:t>
      </w:r>
      <w:r>
        <w:rPr>
          <w:rFonts w:hint="eastAsia"/>
          <w:sz w:val="24"/>
        </w:rPr>
        <w:t>技术服务进度：根据双方商定计划；</w:t>
      </w:r>
    </w:p>
    <w:p w14:paraId="21F9E4FB">
      <w:pPr>
        <w:widowControl w:val="0"/>
        <w:tabs>
          <w:tab w:val="left" w:pos="600"/>
        </w:tabs>
        <w:spacing w:line="360" w:lineRule="auto"/>
        <w:ind w:left="0" w:leftChars="0" w:right="0" w:right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3.7技术服务质量要求：乙方根据以下有关国家和行业标准的要求进行技术监督管理（所列标准可能不全）：</w:t>
      </w:r>
    </w:p>
    <w:p w14:paraId="3A5CC102">
      <w:pPr>
        <w:spacing w:line="360" w:lineRule="auto"/>
        <w:ind w:left="199" w:leftChars="95" w:right="386" w:rightChars="184" w:firstLine="540" w:firstLineChars="225"/>
        <w:rPr>
          <w:rFonts w:hint="eastAsia"/>
          <w:sz w:val="24"/>
        </w:rPr>
      </w:pPr>
      <w:r>
        <w:rPr>
          <w:rFonts w:hint="eastAsia"/>
          <w:sz w:val="24"/>
        </w:rPr>
        <w:t>《电力技术监督导则》</w:t>
      </w:r>
    </w:p>
    <w:p w14:paraId="10A53839">
      <w:pPr>
        <w:spacing w:line="360" w:lineRule="auto"/>
        <w:ind w:left="199" w:leftChars="95" w:right="386" w:rightChars="184" w:firstLine="540" w:firstLineChars="225"/>
        <w:rPr>
          <w:rFonts w:hint="eastAsia"/>
          <w:sz w:val="24"/>
        </w:rPr>
      </w:pPr>
      <w:r>
        <w:rPr>
          <w:rFonts w:hint="eastAsia"/>
          <w:sz w:val="24"/>
        </w:rPr>
        <w:t>《火力发电厂金属技术监督规程》</w:t>
      </w:r>
    </w:p>
    <w:p w14:paraId="117D0BC3">
      <w:pPr>
        <w:spacing w:line="360" w:lineRule="auto"/>
        <w:ind w:left="199" w:leftChars="95" w:right="386" w:rightChars="184" w:firstLine="540" w:firstLineChars="225"/>
        <w:rPr>
          <w:rFonts w:hint="eastAsia"/>
          <w:sz w:val="24"/>
        </w:rPr>
      </w:pPr>
      <w:r>
        <w:rPr>
          <w:rFonts w:hint="eastAsia"/>
          <w:sz w:val="24"/>
        </w:rPr>
        <w:t>《化学监督制度》</w:t>
      </w:r>
    </w:p>
    <w:p w14:paraId="78C2CEC3">
      <w:pPr>
        <w:spacing w:line="360" w:lineRule="auto"/>
        <w:ind w:left="199" w:leftChars="95" w:right="386" w:rightChars="184" w:firstLine="540" w:firstLineChars="225"/>
        <w:rPr>
          <w:rFonts w:hint="eastAsia"/>
          <w:sz w:val="24"/>
        </w:rPr>
      </w:pPr>
      <w:r>
        <w:rPr>
          <w:rFonts w:hint="eastAsia"/>
          <w:sz w:val="24"/>
        </w:rPr>
        <w:t>《电力设备预防性试验规程》</w:t>
      </w:r>
    </w:p>
    <w:p w14:paraId="1E561D73">
      <w:pPr>
        <w:spacing w:line="360" w:lineRule="auto"/>
        <w:ind w:left="199" w:leftChars="95" w:right="386" w:rightChars="184" w:firstLine="540" w:firstLineChars="225"/>
        <w:rPr>
          <w:sz w:val="24"/>
        </w:rPr>
      </w:pPr>
      <w:r>
        <w:rPr>
          <w:rFonts w:hint="eastAsia"/>
          <w:sz w:val="24"/>
        </w:rPr>
        <w:t>《电网电能质量技术监督管理规定》</w:t>
      </w:r>
    </w:p>
    <w:p w14:paraId="0ECA1F39">
      <w:pPr>
        <w:spacing w:line="360" w:lineRule="auto"/>
        <w:ind w:left="199" w:leftChars="95" w:right="386" w:rightChars="184" w:firstLine="540" w:firstLineChars="225"/>
        <w:rPr>
          <w:rFonts w:hint="eastAsia"/>
          <w:sz w:val="24"/>
        </w:rPr>
      </w:pPr>
      <w:r>
        <w:rPr>
          <w:rFonts w:hint="eastAsia"/>
          <w:sz w:val="24"/>
        </w:rPr>
        <w:t>《广西壮族自治区电网谐波管理规定》</w:t>
      </w:r>
    </w:p>
    <w:p w14:paraId="59D46909">
      <w:pPr>
        <w:spacing w:line="360" w:lineRule="auto"/>
        <w:ind w:left="199" w:leftChars="95" w:right="386" w:rightChars="184" w:firstLine="540" w:firstLineChars="225"/>
        <w:rPr>
          <w:rFonts w:hint="eastAsia"/>
          <w:sz w:val="24"/>
        </w:rPr>
      </w:pPr>
      <w:r>
        <w:rPr>
          <w:rFonts w:hint="eastAsia"/>
          <w:sz w:val="24"/>
        </w:rPr>
        <w:t>《发电机励磁系统技术监督规程》</w:t>
      </w:r>
    </w:p>
    <w:p w14:paraId="299F73B8">
      <w:pPr>
        <w:spacing w:line="360" w:lineRule="auto"/>
        <w:ind w:left="199" w:leftChars="95" w:right="386" w:rightChars="184" w:firstLine="540" w:firstLineChars="225"/>
        <w:rPr>
          <w:rFonts w:hint="eastAsia"/>
          <w:sz w:val="24"/>
        </w:rPr>
      </w:pPr>
      <w:r>
        <w:rPr>
          <w:rFonts w:hint="eastAsia"/>
          <w:sz w:val="24"/>
        </w:rPr>
        <w:t>《节能技术监督导则》</w:t>
      </w:r>
    </w:p>
    <w:p w14:paraId="42DF0E5E">
      <w:pPr>
        <w:spacing w:line="360" w:lineRule="auto"/>
        <w:ind w:left="199" w:leftChars="95" w:right="386" w:rightChars="184" w:firstLine="540" w:firstLineChars="225"/>
        <w:rPr>
          <w:rFonts w:hint="eastAsia"/>
          <w:sz w:val="24"/>
        </w:rPr>
      </w:pPr>
      <w:r>
        <w:rPr>
          <w:rFonts w:hint="eastAsia"/>
          <w:sz w:val="24"/>
        </w:rPr>
        <w:t>《发电厂汽轮机、水轮机技术监督导则》</w:t>
      </w:r>
    </w:p>
    <w:p w14:paraId="62FB790B">
      <w:pPr>
        <w:spacing w:line="360" w:lineRule="auto"/>
        <w:ind w:left="199" w:leftChars="95" w:right="386" w:rightChars="184" w:firstLine="540" w:firstLineChars="225"/>
        <w:rPr>
          <w:rFonts w:hint="eastAsia"/>
          <w:sz w:val="24"/>
        </w:rPr>
      </w:pPr>
      <w:r>
        <w:rPr>
          <w:rFonts w:hint="eastAsia"/>
          <w:sz w:val="24"/>
        </w:rPr>
        <w:t>《发电厂热工仪表及控制系统技术监督导则》</w:t>
      </w:r>
    </w:p>
    <w:p w14:paraId="5F8FB161">
      <w:pPr>
        <w:spacing w:line="360" w:lineRule="auto"/>
        <w:ind w:left="199" w:leftChars="95" w:right="386" w:rightChars="184" w:firstLine="540" w:firstLineChars="225"/>
        <w:rPr>
          <w:rFonts w:hint="eastAsia"/>
          <w:sz w:val="24"/>
        </w:rPr>
      </w:pPr>
      <w:r>
        <w:rPr>
          <w:rFonts w:hint="eastAsia"/>
          <w:sz w:val="24"/>
        </w:rPr>
        <w:t xml:space="preserve">《高压电气设备绝缘技术监督规程》 </w:t>
      </w:r>
    </w:p>
    <w:p w14:paraId="2A2063D2">
      <w:pPr>
        <w:spacing w:line="360" w:lineRule="auto"/>
        <w:ind w:left="199" w:leftChars="95" w:right="386" w:rightChars="184" w:firstLine="540" w:firstLineChars="225"/>
        <w:rPr>
          <w:rFonts w:hint="eastAsia"/>
          <w:sz w:val="24"/>
        </w:rPr>
      </w:pPr>
      <w:r>
        <w:rPr>
          <w:rFonts w:hint="eastAsia"/>
          <w:sz w:val="24"/>
        </w:rPr>
        <w:t>《电测技术监督规程》</w:t>
      </w:r>
    </w:p>
    <w:p w14:paraId="104DDB17">
      <w:pPr>
        <w:spacing w:line="360" w:lineRule="auto"/>
        <w:ind w:left="199" w:leftChars="95" w:right="386" w:rightChars="184" w:firstLine="540" w:firstLineChars="225"/>
        <w:rPr>
          <w:rFonts w:hint="eastAsia"/>
          <w:sz w:val="24"/>
        </w:rPr>
      </w:pPr>
      <w:r>
        <w:rPr>
          <w:rFonts w:hint="eastAsia"/>
          <w:sz w:val="24"/>
        </w:rPr>
        <w:t>《防止电力生产事故的二十五项重点要求》</w:t>
      </w:r>
    </w:p>
    <w:p w14:paraId="3AA9056F">
      <w:pPr>
        <w:keepNext/>
        <w:keepLines/>
        <w:widowControl w:val="0"/>
        <w:snapToGrid w:val="0"/>
        <w:spacing w:before="156" w:beforeLines="50" w:after="156" w:afterLines="50" w:line="360" w:lineRule="auto"/>
        <w:jc w:val="center"/>
        <w:outlineLvl w:val="1"/>
        <w:rPr>
          <w:rFonts w:hint="eastAsia" w:ascii="Times New Roman" w:hAnsi="Times New Roman" w:eastAsia="宋体" w:cs="Times New Roman"/>
          <w:b/>
          <w:bCs/>
          <w:kern w:val="2"/>
          <w:sz w:val="32"/>
          <w:szCs w:val="32"/>
          <w:lang w:val="en-US" w:eastAsia="zh-CN" w:bidi="ar-SA"/>
        </w:rPr>
      </w:pPr>
      <w:r>
        <w:rPr>
          <w:rFonts w:hint="eastAsia" w:ascii="Times New Roman" w:hAnsi="Times New Roman" w:eastAsia="宋体" w:cs="Times New Roman"/>
          <w:b/>
          <w:bCs/>
          <w:kern w:val="2"/>
          <w:sz w:val="32"/>
          <w:szCs w:val="32"/>
          <w:lang w:val="en-US" w:eastAsia="zh-CN" w:bidi="ar-SA"/>
        </w:rPr>
        <w:t>4</w:t>
      </w:r>
      <w:r>
        <w:rPr>
          <w:rFonts w:ascii="Times New Roman" w:hAnsi="Times New Roman" w:eastAsia="宋体" w:cs="Times New Roman"/>
          <w:b/>
          <w:bCs/>
          <w:kern w:val="2"/>
          <w:sz w:val="32"/>
          <w:szCs w:val="32"/>
          <w:lang w:val="en-US" w:eastAsia="zh-CN" w:bidi="ar-SA"/>
        </w:rPr>
        <w:t>双方的责任</w:t>
      </w:r>
      <w:r>
        <w:rPr>
          <w:rFonts w:hint="eastAsia" w:ascii="Times New Roman" w:hAnsi="Times New Roman" w:eastAsia="宋体" w:cs="Times New Roman"/>
          <w:b/>
          <w:bCs/>
          <w:kern w:val="2"/>
          <w:sz w:val="32"/>
          <w:szCs w:val="32"/>
          <w:lang w:val="en-US" w:eastAsia="zh-CN" w:bidi="ar-SA"/>
        </w:rPr>
        <w:t>及</w:t>
      </w:r>
      <w:r>
        <w:rPr>
          <w:rFonts w:ascii="Times New Roman" w:hAnsi="Times New Roman" w:eastAsia="宋体" w:cs="Times New Roman"/>
          <w:b/>
          <w:bCs/>
          <w:kern w:val="2"/>
          <w:sz w:val="32"/>
          <w:szCs w:val="32"/>
          <w:lang w:val="en-US" w:eastAsia="zh-CN" w:bidi="ar-SA"/>
        </w:rPr>
        <w:t>义务</w:t>
      </w:r>
    </w:p>
    <w:p w14:paraId="1BB291AD">
      <w:pPr>
        <w:snapToGrid w:val="0"/>
        <w:spacing w:before="60" w:line="360" w:lineRule="auto"/>
        <w:rPr>
          <w:rFonts w:hint="eastAsia"/>
          <w:sz w:val="24"/>
        </w:rPr>
      </w:pPr>
      <w:r>
        <w:rPr>
          <w:rFonts w:hint="eastAsia"/>
          <w:sz w:val="24"/>
        </w:rPr>
        <w:t>4.1．甲方的责任</w:t>
      </w:r>
      <w:r>
        <w:rPr>
          <w:sz w:val="24"/>
        </w:rPr>
        <w:t>及义务</w:t>
      </w:r>
    </w:p>
    <w:p w14:paraId="55D8FD85">
      <w:pPr>
        <w:snapToGrid w:val="0"/>
        <w:spacing w:before="60" w:line="360" w:lineRule="auto"/>
        <w:ind w:firstLine="480" w:firstLineChars="200"/>
        <w:rPr>
          <w:rFonts w:hint="eastAsia"/>
          <w:sz w:val="24"/>
        </w:rPr>
      </w:pPr>
      <w:r>
        <w:rPr>
          <w:rFonts w:hint="eastAsia"/>
          <w:sz w:val="24"/>
        </w:rPr>
        <w:t>4.1</w:t>
      </w:r>
      <w:r>
        <w:rPr>
          <w:sz w:val="24"/>
        </w:rPr>
        <w:t>.1</w:t>
      </w:r>
      <w:r>
        <w:rPr>
          <w:rFonts w:hint="eastAsia"/>
          <w:sz w:val="24"/>
        </w:rPr>
        <w:t xml:space="preserve">甲方应按规定及时向其上级主管部门及乙方上报技术监督月报表、季度报表、年度报表、本厂年度技术监督工作总结、本厂各专业年度技术监督工作总结； </w:t>
      </w:r>
    </w:p>
    <w:p w14:paraId="5DAD1A4F">
      <w:pPr>
        <w:snapToGrid w:val="0"/>
        <w:spacing w:before="60" w:line="360" w:lineRule="auto"/>
        <w:ind w:firstLine="480" w:firstLineChars="200"/>
        <w:rPr>
          <w:rFonts w:hint="eastAsia"/>
          <w:sz w:val="24"/>
        </w:rPr>
      </w:pPr>
      <w:r>
        <w:rPr>
          <w:rFonts w:hint="eastAsia"/>
          <w:sz w:val="24"/>
        </w:rPr>
        <w:t>4.1</w:t>
      </w:r>
      <w:r>
        <w:rPr>
          <w:sz w:val="24"/>
        </w:rPr>
        <w:t>.2</w:t>
      </w:r>
      <w:r>
        <w:rPr>
          <w:rFonts w:hint="eastAsia"/>
          <w:sz w:val="24"/>
        </w:rPr>
        <w:t xml:space="preserve">及时向乙方通报所属各电厂机组大修项目、重大技术措施及技术改造方案。 </w:t>
      </w:r>
    </w:p>
    <w:p w14:paraId="381A4D90">
      <w:pPr>
        <w:snapToGrid w:val="0"/>
        <w:spacing w:before="60" w:line="360" w:lineRule="auto"/>
        <w:ind w:firstLine="360" w:firstLineChars="150"/>
        <w:rPr>
          <w:rFonts w:hint="eastAsia"/>
          <w:sz w:val="24"/>
        </w:rPr>
      </w:pPr>
      <w:r>
        <w:rPr>
          <w:rFonts w:hint="eastAsia"/>
          <w:sz w:val="24"/>
        </w:rPr>
        <w:t xml:space="preserve"> 4.</w:t>
      </w:r>
      <w:r>
        <w:rPr>
          <w:sz w:val="24"/>
        </w:rPr>
        <w:t>1.3</w:t>
      </w:r>
      <w:r>
        <w:rPr>
          <w:rFonts w:hint="eastAsia"/>
          <w:sz w:val="24"/>
        </w:rPr>
        <w:t>负责做好机组各项技术监督工作，组织人员进行日常维护和管理；</w:t>
      </w:r>
    </w:p>
    <w:p w14:paraId="181E9E53">
      <w:pPr>
        <w:snapToGrid w:val="0"/>
        <w:spacing w:before="60" w:line="360" w:lineRule="auto"/>
        <w:ind w:firstLine="480" w:firstLineChars="200"/>
        <w:rPr>
          <w:rFonts w:hint="eastAsia"/>
          <w:sz w:val="24"/>
        </w:rPr>
      </w:pPr>
      <w:r>
        <w:rPr>
          <w:rFonts w:hint="eastAsia"/>
          <w:sz w:val="24"/>
        </w:rPr>
        <w:t>4.</w:t>
      </w:r>
      <w:r>
        <w:rPr>
          <w:sz w:val="24"/>
        </w:rPr>
        <w:t>1.4</w:t>
      </w:r>
      <w:r>
        <w:rPr>
          <w:rFonts w:hint="eastAsia"/>
          <w:sz w:val="24"/>
        </w:rPr>
        <w:t xml:space="preserve">乙方到甲方对机组进行技术监督、技术咨询时，甲方有积极配合的责任，尽力协助提供工作方便； </w:t>
      </w:r>
    </w:p>
    <w:p w14:paraId="7C736689">
      <w:pPr>
        <w:snapToGrid w:val="0"/>
        <w:spacing w:before="60" w:line="360" w:lineRule="auto"/>
        <w:ind w:firstLine="480" w:firstLineChars="200"/>
        <w:rPr>
          <w:rFonts w:hint="eastAsia"/>
          <w:sz w:val="24"/>
        </w:rPr>
      </w:pPr>
      <w:r>
        <w:rPr>
          <w:rFonts w:hint="eastAsia"/>
          <w:sz w:val="24"/>
        </w:rPr>
        <w:t>4.</w:t>
      </w:r>
      <w:r>
        <w:rPr>
          <w:sz w:val="24"/>
        </w:rPr>
        <w:t>1.5</w:t>
      </w:r>
      <w:r>
        <w:rPr>
          <w:rFonts w:hint="eastAsia"/>
          <w:sz w:val="24"/>
        </w:rPr>
        <w:t xml:space="preserve"> 按时派员参加乙方主办或协办的专业会议、培训、学术交流；</w:t>
      </w:r>
    </w:p>
    <w:p w14:paraId="178AD42E">
      <w:pPr>
        <w:snapToGrid w:val="0"/>
        <w:spacing w:before="60" w:line="360" w:lineRule="auto"/>
        <w:ind w:firstLine="480" w:firstLineChars="200"/>
        <w:rPr>
          <w:sz w:val="24"/>
        </w:rPr>
      </w:pPr>
      <w:r>
        <w:rPr>
          <w:rFonts w:hint="eastAsia"/>
          <w:sz w:val="24"/>
        </w:rPr>
        <w:t>4.</w:t>
      </w:r>
      <w:r>
        <w:rPr>
          <w:sz w:val="24"/>
        </w:rPr>
        <w:t>1.6</w:t>
      </w:r>
      <w:r>
        <w:rPr>
          <w:rFonts w:hint="eastAsia"/>
          <w:sz w:val="24"/>
        </w:rPr>
        <w:t xml:space="preserve"> 因为事故分析的需要，甲方针对机组需要乙方检验的样品、仪器仪表有送至乙方的义务；如方便的话，乙方可以协助完成；</w:t>
      </w:r>
    </w:p>
    <w:p w14:paraId="252E035B">
      <w:pPr>
        <w:snapToGrid w:val="0"/>
        <w:spacing w:before="60" w:line="360" w:lineRule="auto"/>
        <w:ind w:firstLine="480" w:firstLineChars="200"/>
        <w:rPr>
          <w:sz w:val="24"/>
        </w:rPr>
      </w:pPr>
      <w:r>
        <w:rPr>
          <w:rFonts w:hint="eastAsia"/>
          <w:sz w:val="24"/>
        </w:rPr>
        <w:t>4.</w:t>
      </w:r>
      <w:r>
        <w:rPr>
          <w:sz w:val="24"/>
        </w:rPr>
        <w:t>1.7</w:t>
      </w:r>
      <w:r>
        <w:rPr>
          <w:rFonts w:hint="eastAsia"/>
          <w:sz w:val="24"/>
        </w:rPr>
        <w:t xml:space="preserve"> 甲方针对机组有接受其上级主管部门及乙方的技术监督检查、提供检查所需材料如有关计划、方案措施、技术报告、技术监督有关管理制度等义务。</w:t>
      </w:r>
    </w:p>
    <w:p w14:paraId="3DC619EB">
      <w:pPr>
        <w:snapToGrid w:val="0"/>
        <w:spacing w:before="60" w:line="360" w:lineRule="auto"/>
        <w:ind w:firstLine="480" w:firstLineChars="200"/>
        <w:rPr>
          <w:rFonts w:hint="eastAsia"/>
          <w:sz w:val="24"/>
        </w:rPr>
      </w:pPr>
      <w:r>
        <w:rPr>
          <w:rFonts w:hint="eastAsia"/>
          <w:sz w:val="24"/>
        </w:rPr>
        <w:t>4.1.8甲方负责按合同规定付款。</w:t>
      </w:r>
    </w:p>
    <w:p w14:paraId="7F0255EE">
      <w:pPr>
        <w:snapToGrid w:val="0"/>
        <w:spacing w:before="60" w:line="360" w:lineRule="auto"/>
        <w:ind w:firstLine="482" w:firstLineChars="200"/>
        <w:rPr>
          <w:rFonts w:hint="eastAsia"/>
          <w:sz w:val="24"/>
        </w:rPr>
      </w:pPr>
      <w:r>
        <w:rPr>
          <w:rFonts w:hint="eastAsia"/>
          <w:b/>
          <w:sz w:val="24"/>
        </w:rPr>
        <w:t>4.</w:t>
      </w:r>
      <w:r>
        <w:rPr>
          <w:b/>
          <w:sz w:val="24"/>
        </w:rPr>
        <w:t>2</w:t>
      </w:r>
      <w:r>
        <w:rPr>
          <w:rFonts w:hint="eastAsia"/>
          <w:b/>
          <w:sz w:val="24"/>
        </w:rPr>
        <w:t>．</w:t>
      </w:r>
      <w:r>
        <w:rPr>
          <w:rFonts w:hint="eastAsia"/>
          <w:sz w:val="24"/>
        </w:rPr>
        <w:t>乙方</w:t>
      </w:r>
      <w:r>
        <w:rPr>
          <w:sz w:val="24"/>
        </w:rPr>
        <w:t>的权力及义</w:t>
      </w:r>
      <w:r>
        <w:rPr>
          <w:rFonts w:hint="eastAsia"/>
          <w:sz w:val="24"/>
        </w:rPr>
        <w:t>务：</w:t>
      </w:r>
    </w:p>
    <w:p w14:paraId="3C2AD7ED">
      <w:pPr>
        <w:snapToGrid w:val="0"/>
        <w:spacing w:before="60" w:line="360" w:lineRule="auto"/>
        <w:ind w:firstLine="480" w:firstLineChars="200"/>
        <w:rPr>
          <w:sz w:val="24"/>
        </w:rPr>
      </w:pPr>
      <w:r>
        <w:rPr>
          <w:rFonts w:hint="eastAsia"/>
          <w:sz w:val="24"/>
        </w:rPr>
        <w:t>4.</w:t>
      </w:r>
      <w:r>
        <w:rPr>
          <w:sz w:val="24"/>
        </w:rPr>
        <w:t>2</w:t>
      </w:r>
      <w:r>
        <w:rPr>
          <w:rFonts w:hint="eastAsia"/>
          <w:sz w:val="24"/>
        </w:rPr>
        <w:t>.1乙方为开展本合同工作的需要，有要求甲方提供有关机组的计划、方案措施、技术报告、技术监督有关管理制度等材料的权利。</w:t>
      </w:r>
    </w:p>
    <w:p w14:paraId="6C82C50C">
      <w:pPr>
        <w:snapToGrid w:val="0"/>
        <w:spacing w:before="60" w:line="360" w:lineRule="auto"/>
        <w:ind w:firstLine="480" w:firstLineChars="200"/>
        <w:rPr>
          <w:rFonts w:hint="eastAsia"/>
          <w:sz w:val="24"/>
        </w:rPr>
      </w:pPr>
      <w:r>
        <w:rPr>
          <w:rFonts w:hint="eastAsia"/>
          <w:sz w:val="24"/>
        </w:rPr>
        <w:t>4.2.2按照合同约定提供技术监测服务，并根据甲方要求的时间及时出具检测报告。</w:t>
      </w:r>
      <w:r>
        <w:rPr>
          <w:rFonts w:hint="eastAsia" w:ascii="宋体" w:hAnsi="宋体"/>
          <w:sz w:val="24"/>
        </w:rPr>
        <w:t xml:space="preserve">  </w:t>
      </w:r>
    </w:p>
    <w:p w14:paraId="1E48B7E5">
      <w:pPr>
        <w:snapToGrid w:val="0"/>
        <w:spacing w:before="60" w:line="360" w:lineRule="auto"/>
        <w:ind w:firstLine="480" w:firstLineChars="200"/>
        <w:rPr>
          <w:rFonts w:hint="eastAsia"/>
          <w:sz w:val="24"/>
        </w:rPr>
      </w:pPr>
      <w:r>
        <w:rPr>
          <w:rFonts w:hint="eastAsia"/>
          <w:sz w:val="24"/>
        </w:rPr>
        <w:t>4.2.3采用合适谨慎态度及科学准确的方法，以保证技术监</w:t>
      </w:r>
      <w:r>
        <w:rPr>
          <w:sz w:val="24"/>
        </w:rPr>
        <w:t>测</w:t>
      </w:r>
      <w:r>
        <w:rPr>
          <w:rFonts w:hint="eastAsia"/>
          <w:sz w:val="24"/>
        </w:rPr>
        <w:t>服务的高效及监测报告的精确。</w:t>
      </w:r>
    </w:p>
    <w:p w14:paraId="768907DC">
      <w:pPr>
        <w:snapToGrid w:val="0"/>
        <w:spacing w:before="60" w:line="360" w:lineRule="auto"/>
        <w:ind w:firstLine="480" w:firstLineChars="200"/>
        <w:rPr>
          <w:rFonts w:hint="eastAsia"/>
          <w:sz w:val="24"/>
        </w:rPr>
      </w:pPr>
      <w:r>
        <w:rPr>
          <w:rFonts w:hint="eastAsia"/>
          <w:sz w:val="24"/>
        </w:rPr>
        <w:t>4.2.4、</w:t>
      </w:r>
      <w:r>
        <w:rPr>
          <w:sz w:val="24"/>
        </w:rPr>
        <w:t>若因乙方原因引起的工期延误，乙方应承担违约责任，每延误一天</w:t>
      </w:r>
      <w:r>
        <w:rPr>
          <w:rFonts w:hint="eastAsia"/>
          <w:sz w:val="24"/>
        </w:rPr>
        <w:t>应偿付</w:t>
      </w:r>
      <w:r>
        <w:rPr>
          <w:sz w:val="24"/>
        </w:rPr>
        <w:t>合同总额的</w:t>
      </w:r>
      <w:r>
        <w:rPr>
          <w:rFonts w:hint="eastAsia"/>
          <w:sz w:val="24"/>
        </w:rPr>
        <w:t>1</w:t>
      </w:r>
      <w:r>
        <w:rPr>
          <w:sz w:val="24"/>
        </w:rPr>
        <w:t>%</w:t>
      </w:r>
      <w:r>
        <w:rPr>
          <w:rFonts w:hint="eastAsia"/>
          <w:sz w:val="24"/>
        </w:rPr>
        <w:t>违约金</w:t>
      </w:r>
      <w:r>
        <w:rPr>
          <w:sz w:val="24"/>
        </w:rPr>
        <w:t>。</w:t>
      </w:r>
    </w:p>
    <w:p w14:paraId="47332EE2">
      <w:pPr>
        <w:snapToGrid w:val="0"/>
        <w:spacing w:before="60" w:line="360" w:lineRule="auto"/>
        <w:ind w:firstLine="480" w:firstLineChars="200"/>
        <w:rPr>
          <w:rFonts w:hint="eastAsia"/>
          <w:sz w:val="24"/>
        </w:rPr>
      </w:pPr>
      <w:r>
        <w:rPr>
          <w:rFonts w:hint="eastAsia"/>
          <w:sz w:val="24"/>
        </w:rPr>
        <w:t>4.</w:t>
      </w:r>
      <w:r>
        <w:rPr>
          <w:sz w:val="24"/>
        </w:rPr>
        <w:t>2.5</w:t>
      </w:r>
      <w:r>
        <w:rPr>
          <w:rFonts w:hint="eastAsia"/>
          <w:sz w:val="24"/>
        </w:rPr>
        <w:t>、甲方提供给乙方的所有资料仅限用于本项目使用，乙方在本合同期内及合同终止后，均负有保密的义务。未经甲方事先书面同意乙方及其员工不得将资料和环境状况、产品技术、生产工艺等泄露给第三方，否则，乙方应退还甲方已付的款项并赔偿因其泄露行为而给甲方单位造成的一切经济损失，包括甲方因此而发生的律师费、诉讼费、保全费及执行费等相关费用。</w:t>
      </w:r>
    </w:p>
    <w:p w14:paraId="071E4419">
      <w:pPr>
        <w:ind w:firstLine="480" w:firstLineChars="200"/>
      </w:pPr>
      <w:r>
        <w:rPr>
          <w:rFonts w:hint="eastAsia"/>
          <w:sz w:val="24"/>
        </w:rPr>
        <w:t>4.2.6、乙</w:t>
      </w:r>
      <w:r>
        <w:rPr>
          <w:sz w:val="24"/>
        </w:rPr>
        <w:t>方应严格执行</w:t>
      </w:r>
      <w:r>
        <w:rPr>
          <w:rFonts w:hint="eastAsia"/>
          <w:sz w:val="24"/>
        </w:rPr>
        <w:t>202</w:t>
      </w:r>
      <w:r>
        <w:rPr>
          <w:rFonts w:hint="eastAsia"/>
          <w:sz w:val="24"/>
          <w:lang w:val="en-US" w:eastAsia="zh-CN"/>
        </w:rPr>
        <w:t>6</w:t>
      </w:r>
      <w:r>
        <w:rPr>
          <w:rFonts w:hint="eastAsia"/>
          <w:sz w:val="24"/>
        </w:rPr>
        <w:t>年</w:t>
      </w:r>
      <w:r>
        <w:rPr>
          <w:sz w:val="24"/>
        </w:rPr>
        <w:t>度技术监督工作服务方案</w:t>
      </w:r>
      <w:r>
        <w:rPr>
          <w:rFonts w:hint="eastAsia"/>
          <w:sz w:val="24"/>
        </w:rPr>
        <w:t>对甲方</w:t>
      </w:r>
      <w:r>
        <w:rPr>
          <w:sz w:val="24"/>
        </w:rPr>
        <w:t>进行</w:t>
      </w:r>
      <w:r>
        <w:rPr>
          <w:rFonts w:hint="eastAsia"/>
          <w:sz w:val="24"/>
        </w:rPr>
        <w:t>技术</w:t>
      </w:r>
      <w:r>
        <w:rPr>
          <w:sz w:val="24"/>
        </w:rPr>
        <w:t>监督</w:t>
      </w:r>
      <w:r>
        <w:rPr>
          <w:rFonts w:hint="eastAsia"/>
          <w:sz w:val="24"/>
        </w:rPr>
        <w:t>。</w:t>
      </w:r>
    </w:p>
    <w:p w14:paraId="03F8D7CE">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5 </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验收</w:t>
      </w:r>
    </w:p>
    <w:p w14:paraId="48BE677E">
      <w:pPr>
        <w:snapToGrid w:val="0"/>
        <w:spacing w:before="60" w:line="360" w:lineRule="auto"/>
        <w:rPr>
          <w:sz w:val="24"/>
        </w:rPr>
      </w:pPr>
      <w:r>
        <w:rPr>
          <w:sz w:val="24"/>
        </w:rPr>
        <w:t>5</w:t>
      </w:r>
      <w:r>
        <w:rPr>
          <w:rFonts w:hint="eastAsia"/>
          <w:sz w:val="24"/>
        </w:rPr>
        <w:t>.1．乙方完成技术监督服务工作的形式： 按照要求提供咨询 ，在去电厂开展工作前准备好检查项目及内容，检查后的两星期内向电厂提交初步工作报告；</w:t>
      </w:r>
    </w:p>
    <w:p w14:paraId="17432FDE">
      <w:pPr>
        <w:snapToGrid w:val="0"/>
        <w:spacing w:before="60" w:line="360" w:lineRule="auto"/>
        <w:rPr>
          <w:rFonts w:hint="eastAsia"/>
          <w:sz w:val="24"/>
        </w:rPr>
      </w:pPr>
      <w:r>
        <w:rPr>
          <w:sz w:val="24"/>
        </w:rPr>
        <w:t>5</w:t>
      </w:r>
      <w:r>
        <w:rPr>
          <w:rFonts w:hint="eastAsia"/>
          <w:sz w:val="24"/>
        </w:rPr>
        <w:t xml:space="preserve">.2．技术监督服务工作成果的验收标准：按合同条款验收； </w:t>
      </w:r>
    </w:p>
    <w:p w14:paraId="16057DEB">
      <w:pPr>
        <w:spacing w:line="360" w:lineRule="auto"/>
        <w:ind w:right="95"/>
        <w:rPr>
          <w:rFonts w:hint="eastAsia"/>
          <w:sz w:val="24"/>
        </w:rPr>
      </w:pPr>
      <w:r>
        <w:rPr>
          <w:sz w:val="24"/>
        </w:rPr>
        <w:t>5</w:t>
      </w:r>
      <w:r>
        <w:rPr>
          <w:rFonts w:hint="eastAsia"/>
          <w:sz w:val="24"/>
        </w:rPr>
        <w:t>.3．技术监督服务工作成果的验收方式：乙方在合同期结束后一个月提交技术监督总结报告，乙方进行验收。</w:t>
      </w:r>
    </w:p>
    <w:p w14:paraId="377803A3">
      <w:pPr>
        <w:snapToGrid w:val="0"/>
        <w:spacing w:before="60" w:line="360" w:lineRule="auto"/>
        <w:rPr>
          <w:rFonts w:hint="eastAsia"/>
          <w:sz w:val="24"/>
        </w:rPr>
      </w:pPr>
      <w:r>
        <w:rPr>
          <w:sz w:val="24"/>
        </w:rPr>
        <w:t>5</w:t>
      </w:r>
      <w:r>
        <w:rPr>
          <w:rFonts w:hint="eastAsia"/>
          <w:sz w:val="24"/>
        </w:rPr>
        <w:t>.4.服务工作成果提交形式、份数：书面报告6份、电子文件3份。</w:t>
      </w:r>
    </w:p>
    <w:p w14:paraId="71108B22">
      <w:pPr>
        <w:spacing w:line="480" w:lineRule="exact"/>
        <w:ind w:firstLine="0" w:firstLineChars="0"/>
        <w:rPr>
          <w:rFonts w:hint="eastAsia" w:hAnsi="宋体"/>
          <w:spacing w:val="10"/>
          <w:sz w:val="24"/>
        </w:rPr>
      </w:pPr>
      <w:r>
        <w:rPr>
          <w:rFonts w:hint="eastAsia"/>
          <w:sz w:val="24"/>
        </w:rPr>
        <w:t>本合同的变更必须由双方协商一致，并以书面形式确定。</w:t>
      </w:r>
    </w:p>
    <w:p w14:paraId="05748E1E">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6</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违约责任</w:t>
      </w:r>
    </w:p>
    <w:p w14:paraId="1C84A7F1">
      <w:pPr>
        <w:spacing w:line="360" w:lineRule="auto"/>
        <w:rPr>
          <w:rFonts w:hint="eastAsia" w:hAnsi="宋体"/>
          <w:spacing w:val="10"/>
          <w:sz w:val="24"/>
        </w:rPr>
      </w:pPr>
      <w:r>
        <w:rPr>
          <w:rFonts w:hAnsi="宋体"/>
          <w:spacing w:val="10"/>
          <w:sz w:val="24"/>
        </w:rPr>
        <w:t>6.1 乙方违约责任</w:t>
      </w:r>
    </w:p>
    <w:p w14:paraId="4355569E">
      <w:pPr>
        <w:spacing w:line="360" w:lineRule="auto"/>
        <w:rPr>
          <w:rFonts w:hint="eastAsia" w:hAnsi="宋体"/>
          <w:spacing w:val="10"/>
          <w:sz w:val="24"/>
        </w:rPr>
      </w:pPr>
      <w:r>
        <w:rPr>
          <w:rFonts w:hAnsi="宋体"/>
          <w:spacing w:val="10"/>
          <w:sz w:val="24"/>
        </w:rPr>
        <w:t>6.1.1 因乙方责任未履行本合同项下所列服务项目，存在丢项、漏项的，</w:t>
      </w:r>
      <w:r>
        <w:rPr>
          <w:rFonts w:hint="eastAsia" w:ascii="宋体" w:hAnsi="宋体"/>
          <w:sz w:val="24"/>
        </w:rPr>
        <w:t>每项次扣款2000元/项,全年达到3项及以上, 每项再追加扣款2000元/项,月度扣款不影响年度的考核扣款。</w:t>
      </w:r>
    </w:p>
    <w:p w14:paraId="7BE9A030">
      <w:pPr>
        <w:spacing w:line="360" w:lineRule="auto"/>
        <w:rPr>
          <w:rFonts w:hint="eastAsia" w:hAnsi="宋体"/>
          <w:spacing w:val="10"/>
          <w:sz w:val="24"/>
        </w:rPr>
      </w:pPr>
      <w:r>
        <w:rPr>
          <w:spacing w:val="10"/>
          <w:sz w:val="24"/>
        </w:rPr>
        <w:t>6</w:t>
      </w:r>
      <w:r>
        <w:rPr>
          <w:rFonts w:hint="eastAsia"/>
          <w:spacing w:val="10"/>
          <w:sz w:val="24"/>
        </w:rPr>
        <w:t>.1.2</w:t>
      </w:r>
      <w:r>
        <w:rPr>
          <w:rFonts w:hAnsi="宋体"/>
          <w:spacing w:val="10"/>
          <w:sz w:val="24"/>
        </w:rPr>
        <w:t>对甲方送检的分析样品及校验仪表</w:t>
      </w:r>
      <w:r>
        <w:rPr>
          <w:rFonts w:hint="eastAsia" w:hAnsi="宋体"/>
          <w:spacing w:val="10"/>
          <w:sz w:val="24"/>
        </w:rPr>
        <w:t>未能按送检清单要求的时间</w:t>
      </w:r>
      <w:r>
        <w:rPr>
          <w:rFonts w:hAnsi="宋体"/>
          <w:spacing w:val="10"/>
          <w:sz w:val="24"/>
        </w:rPr>
        <w:t>完成分析及校验工作</w:t>
      </w:r>
      <w:r>
        <w:rPr>
          <w:rFonts w:hint="eastAsia" w:hAnsi="宋体"/>
          <w:spacing w:val="10"/>
          <w:sz w:val="24"/>
        </w:rPr>
        <w:t>并提供技术报告，超过20天</w:t>
      </w:r>
      <w:r>
        <w:rPr>
          <w:rFonts w:hint="eastAsia" w:ascii="宋体" w:hAnsi="宋体"/>
          <w:sz w:val="24"/>
        </w:rPr>
        <w:t>, 每次扣款2000元/次，月度扣款不影响年度的考核扣款。</w:t>
      </w:r>
    </w:p>
    <w:p w14:paraId="6AC891DD">
      <w:pPr>
        <w:spacing w:line="360" w:lineRule="auto"/>
        <w:rPr>
          <w:rFonts w:hAnsi="宋体"/>
          <w:spacing w:val="10"/>
          <w:sz w:val="24"/>
        </w:rPr>
      </w:pPr>
      <w:r>
        <w:rPr>
          <w:rFonts w:hAnsi="宋体"/>
          <w:spacing w:val="10"/>
          <w:sz w:val="24"/>
        </w:rPr>
        <w:t>6</w:t>
      </w:r>
      <w:r>
        <w:rPr>
          <w:rFonts w:hint="eastAsia" w:hAnsi="宋体"/>
          <w:spacing w:val="10"/>
          <w:sz w:val="24"/>
        </w:rPr>
        <w:t>.1.3对于</w:t>
      </w:r>
      <w:r>
        <w:rPr>
          <w:rFonts w:hAnsi="宋体"/>
          <w:spacing w:val="10"/>
          <w:sz w:val="24"/>
        </w:rPr>
        <w:t>甲方送检的分析样品及校验仪表</w:t>
      </w:r>
      <w:r>
        <w:rPr>
          <w:rFonts w:hint="eastAsia" w:hAnsi="宋体"/>
          <w:spacing w:val="10"/>
          <w:sz w:val="24"/>
        </w:rPr>
        <w:t>未能进行检测并未及时告知，造成甲方工作被动，</w:t>
      </w:r>
      <w:r>
        <w:rPr>
          <w:rFonts w:hint="eastAsia" w:ascii="宋体" w:hAnsi="宋体"/>
          <w:sz w:val="24"/>
        </w:rPr>
        <w:t>每次扣款2000元/次,月度扣款不影响年度的考核扣款。</w:t>
      </w:r>
    </w:p>
    <w:p w14:paraId="317ED7EE">
      <w:pPr>
        <w:spacing w:line="360" w:lineRule="auto"/>
        <w:rPr>
          <w:rFonts w:hAnsi="宋体"/>
          <w:spacing w:val="10"/>
          <w:sz w:val="24"/>
        </w:rPr>
      </w:pPr>
      <w:r>
        <w:rPr>
          <w:rFonts w:hAnsi="宋体"/>
          <w:spacing w:val="10"/>
          <w:sz w:val="24"/>
        </w:rPr>
        <w:t>6.1.</w:t>
      </w:r>
      <w:r>
        <w:rPr>
          <w:rFonts w:hint="eastAsia" w:hAnsi="宋体"/>
          <w:spacing w:val="10"/>
          <w:sz w:val="24"/>
        </w:rPr>
        <w:t>4</w:t>
      </w:r>
      <w:r>
        <w:rPr>
          <w:rFonts w:hAnsi="宋体"/>
          <w:spacing w:val="10"/>
          <w:sz w:val="24"/>
        </w:rPr>
        <w:t>乙方接到</w:t>
      </w:r>
      <w:r>
        <w:rPr>
          <w:rFonts w:hint="eastAsia" w:hAnsi="宋体"/>
          <w:spacing w:val="10"/>
          <w:sz w:val="24"/>
        </w:rPr>
        <w:t>甲方要求现场服务</w:t>
      </w:r>
      <w:r>
        <w:rPr>
          <w:rFonts w:hAnsi="宋体"/>
          <w:spacing w:val="10"/>
          <w:sz w:val="24"/>
        </w:rPr>
        <w:t>通知后</w:t>
      </w:r>
      <w:r>
        <w:rPr>
          <w:rFonts w:hint="eastAsia" w:hAnsi="宋体"/>
          <w:spacing w:val="10"/>
          <w:sz w:val="24"/>
        </w:rPr>
        <w:t>，应在第</w:t>
      </w:r>
      <w:r>
        <w:rPr>
          <w:spacing w:val="10"/>
          <w:sz w:val="24"/>
        </w:rPr>
        <w:t>3.</w:t>
      </w:r>
      <w:r>
        <w:rPr>
          <w:rFonts w:hint="eastAsia"/>
          <w:spacing w:val="10"/>
          <w:sz w:val="24"/>
        </w:rPr>
        <w:t>4条款规定的时间内</w:t>
      </w:r>
      <w:r>
        <w:rPr>
          <w:rFonts w:hAnsi="宋体"/>
          <w:spacing w:val="10"/>
          <w:sz w:val="24"/>
        </w:rPr>
        <w:t>赶到现场服务，乙方延迟到达，</w:t>
      </w:r>
      <w:r>
        <w:rPr>
          <w:rFonts w:hint="eastAsia" w:ascii="宋体" w:hAnsi="宋体"/>
          <w:sz w:val="24"/>
        </w:rPr>
        <w:t>每次扣款2000元/次,全年达到2次及以上, 每次追加扣款5000元/次,月度扣款不影响年度的考核扣款。</w:t>
      </w:r>
    </w:p>
    <w:p w14:paraId="493FB9EF">
      <w:pPr>
        <w:spacing w:line="360" w:lineRule="auto"/>
        <w:rPr>
          <w:rFonts w:hAnsi="宋体"/>
          <w:spacing w:val="10"/>
          <w:sz w:val="24"/>
        </w:rPr>
      </w:pPr>
      <w:r>
        <w:rPr>
          <w:rFonts w:hAnsi="宋体"/>
          <w:spacing w:val="10"/>
          <w:sz w:val="24"/>
        </w:rPr>
        <w:t>6.1.</w:t>
      </w:r>
      <w:r>
        <w:rPr>
          <w:rFonts w:hint="eastAsia" w:hAnsi="宋体"/>
          <w:spacing w:val="10"/>
          <w:sz w:val="24"/>
        </w:rPr>
        <w:t xml:space="preserve">5 </w:t>
      </w:r>
      <w:r>
        <w:rPr>
          <w:rFonts w:hAnsi="宋体"/>
          <w:spacing w:val="10"/>
          <w:sz w:val="24"/>
        </w:rPr>
        <w:t>甲方采纳乙方方案造成甲方直接经济损失，经分析确系乙方责任或乙方技术监</w:t>
      </w:r>
      <w:r>
        <w:rPr>
          <w:rFonts w:hint="eastAsia" w:hAnsi="宋体"/>
          <w:spacing w:val="10"/>
          <w:sz w:val="24"/>
        </w:rPr>
        <w:t>控</w:t>
      </w:r>
      <w:r>
        <w:rPr>
          <w:rFonts w:hAnsi="宋体"/>
          <w:spacing w:val="10"/>
          <w:sz w:val="24"/>
        </w:rPr>
        <w:t>不力，造成甲方直接经济损失由乙方承担。</w:t>
      </w:r>
    </w:p>
    <w:p w14:paraId="0CCCCDB1">
      <w:pPr>
        <w:spacing w:line="360" w:lineRule="auto"/>
        <w:rPr>
          <w:rFonts w:hAnsi="宋体"/>
          <w:spacing w:val="10"/>
          <w:sz w:val="24"/>
        </w:rPr>
      </w:pPr>
      <w:r>
        <w:rPr>
          <w:rFonts w:hAnsi="宋体"/>
          <w:spacing w:val="10"/>
          <w:sz w:val="24"/>
        </w:rPr>
        <w:t>6.1.</w:t>
      </w:r>
      <w:r>
        <w:rPr>
          <w:rFonts w:hint="eastAsia" w:hAnsi="宋体"/>
          <w:spacing w:val="10"/>
          <w:sz w:val="24"/>
        </w:rPr>
        <w:t>6</w:t>
      </w:r>
      <w:r>
        <w:rPr>
          <w:rFonts w:hAnsi="宋体"/>
          <w:spacing w:val="10"/>
          <w:sz w:val="24"/>
        </w:rPr>
        <w:t xml:space="preserve"> 以上由于乙方责任赔偿甲方的总金额不超过</w:t>
      </w:r>
      <w:r>
        <w:rPr>
          <w:rFonts w:hint="eastAsia" w:hAnsi="宋体"/>
          <w:spacing w:val="10"/>
          <w:sz w:val="24"/>
        </w:rPr>
        <w:t>本</w:t>
      </w:r>
      <w:r>
        <w:rPr>
          <w:rFonts w:hAnsi="宋体"/>
          <w:spacing w:val="10"/>
          <w:sz w:val="24"/>
        </w:rPr>
        <w:t>合同金额的10％。</w:t>
      </w:r>
    </w:p>
    <w:p w14:paraId="4EE3EFA4">
      <w:pPr>
        <w:spacing w:line="360" w:lineRule="auto"/>
        <w:rPr>
          <w:rFonts w:hAnsi="宋体"/>
          <w:spacing w:val="10"/>
          <w:sz w:val="24"/>
        </w:rPr>
      </w:pPr>
      <w:r>
        <w:rPr>
          <w:rFonts w:hAnsi="宋体"/>
          <w:spacing w:val="10"/>
          <w:sz w:val="24"/>
        </w:rPr>
        <w:t>6.2 甲方违约责任</w:t>
      </w:r>
    </w:p>
    <w:p w14:paraId="7A237D42">
      <w:pPr>
        <w:spacing w:line="360" w:lineRule="auto"/>
        <w:rPr>
          <w:rFonts w:hint="eastAsia" w:hAnsi="宋体"/>
          <w:spacing w:val="10"/>
          <w:sz w:val="24"/>
        </w:rPr>
      </w:pPr>
      <w:r>
        <w:rPr>
          <w:rFonts w:hAnsi="宋体"/>
          <w:spacing w:val="10"/>
          <w:sz w:val="24"/>
        </w:rPr>
        <w:t>6.2.1甲方迟延支付合同费用，每延迟一个月，向乙方支付数额为合同金额总额0.</w:t>
      </w:r>
      <w:r>
        <w:rPr>
          <w:rFonts w:hint="eastAsia" w:hAnsi="宋体"/>
          <w:spacing w:val="10"/>
          <w:sz w:val="24"/>
        </w:rPr>
        <w:t>3</w:t>
      </w:r>
      <w:r>
        <w:rPr>
          <w:rFonts w:hAnsi="宋体"/>
          <w:spacing w:val="10"/>
          <w:sz w:val="24"/>
        </w:rPr>
        <w:t>％的滞纳金</w:t>
      </w:r>
      <w:r>
        <w:rPr>
          <w:rFonts w:hint="eastAsia" w:hAnsi="宋体"/>
          <w:spacing w:val="10"/>
          <w:sz w:val="24"/>
        </w:rPr>
        <w:t>，最高滞纳金不超过本合同金额的10%。</w:t>
      </w:r>
    </w:p>
    <w:p w14:paraId="54565FC8">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7 </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分包</w:t>
      </w:r>
    </w:p>
    <w:p w14:paraId="3A5878E7">
      <w:pPr>
        <w:spacing w:line="360" w:lineRule="auto"/>
        <w:rPr>
          <w:rFonts w:hAnsi="宋体"/>
          <w:spacing w:val="10"/>
          <w:sz w:val="24"/>
        </w:rPr>
      </w:pPr>
      <w:r>
        <w:rPr>
          <w:rFonts w:hAnsi="宋体"/>
          <w:spacing w:val="10"/>
          <w:sz w:val="24"/>
        </w:rPr>
        <w:t>7.1</w:t>
      </w:r>
      <w:r>
        <w:rPr>
          <w:rFonts w:hint="eastAsia" w:hAnsi="宋体"/>
          <w:spacing w:val="10"/>
          <w:sz w:val="24"/>
        </w:rPr>
        <w:t xml:space="preserve"> </w:t>
      </w:r>
      <w:r>
        <w:rPr>
          <w:rFonts w:hAnsi="宋体"/>
          <w:spacing w:val="10"/>
          <w:sz w:val="24"/>
        </w:rPr>
        <w:t>乙方未经甲方同意不得将本合同范围内的技术</w:t>
      </w:r>
      <w:r>
        <w:rPr>
          <w:rFonts w:hint="eastAsia" w:hAnsi="宋体"/>
          <w:spacing w:val="10"/>
          <w:sz w:val="24"/>
        </w:rPr>
        <w:t>服务项目</w:t>
      </w:r>
      <w:r>
        <w:rPr>
          <w:rFonts w:hAnsi="宋体"/>
          <w:spacing w:val="10"/>
          <w:sz w:val="24"/>
        </w:rPr>
        <w:t>进行分包。</w:t>
      </w:r>
    </w:p>
    <w:p w14:paraId="7D976D5F">
      <w:pPr>
        <w:spacing w:line="360" w:lineRule="auto"/>
        <w:rPr>
          <w:rFonts w:hint="eastAsia" w:hAnsi="宋体"/>
          <w:spacing w:val="10"/>
          <w:sz w:val="24"/>
        </w:rPr>
      </w:pPr>
      <w:r>
        <w:rPr>
          <w:rFonts w:hAnsi="宋体"/>
          <w:spacing w:val="10"/>
          <w:sz w:val="24"/>
        </w:rPr>
        <w:t>7.2如需分包，乙方将需分包的本合同范围内的技术管理内容和比例提交甲方同意后，将此部分的分包单位预选名单、分包商资质材料，提交给甲方。甲方收到乙方提交的分包商文件后1个月内进行审查，审查同意后，以书面形式予以答复。乙方须在甲方同意的分包单位名单中选定分包商，并以书面形式正式通知甲方。</w:t>
      </w:r>
    </w:p>
    <w:p w14:paraId="39EE7914">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8 </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合同的变更、修改、中止</w:t>
      </w:r>
    </w:p>
    <w:p w14:paraId="704D7F08">
      <w:pPr>
        <w:spacing w:line="360" w:lineRule="auto"/>
        <w:rPr>
          <w:rFonts w:hAnsi="宋体"/>
          <w:spacing w:val="10"/>
          <w:sz w:val="24"/>
        </w:rPr>
      </w:pPr>
      <w:r>
        <w:rPr>
          <w:rFonts w:hAnsi="宋体"/>
          <w:spacing w:val="10"/>
          <w:sz w:val="24"/>
        </w:rPr>
        <w:t>8.1</w:t>
      </w:r>
      <w:r>
        <w:rPr>
          <w:rFonts w:hint="eastAsia" w:hAnsi="宋体"/>
          <w:spacing w:val="10"/>
          <w:sz w:val="24"/>
        </w:rPr>
        <w:t xml:space="preserve"> </w:t>
      </w:r>
      <w:r>
        <w:rPr>
          <w:rFonts w:hAnsi="宋体"/>
          <w:spacing w:val="10"/>
          <w:sz w:val="24"/>
        </w:rPr>
        <w:t>本合同一经生效，合同双方均不得擅自对本合同的内容（包括附件）作任何单方的修改。但任何一方均可以对合同内容以书面形式提出变更、修改、取消或补充的建议。该项建议应以书面形式通知对方并经双方签字确认。双方同意后经双方法定代表人或委托代理人（须经法定代表人书面授权委托）签字后生效。</w:t>
      </w:r>
    </w:p>
    <w:p w14:paraId="146C90EA">
      <w:pPr>
        <w:spacing w:line="360" w:lineRule="auto"/>
        <w:rPr>
          <w:rFonts w:hAnsi="宋体"/>
          <w:spacing w:val="10"/>
          <w:sz w:val="24"/>
        </w:rPr>
      </w:pPr>
      <w:r>
        <w:rPr>
          <w:rFonts w:hAnsi="宋体"/>
          <w:spacing w:val="10"/>
          <w:sz w:val="24"/>
        </w:rPr>
        <w:t>8.2 如果乙方有违反或拒绝执行本合同规定的行为时，甲方将用书面通知乙方，乙方在接到通知后15天内确认无误后应对违反或拒绝</w:t>
      </w:r>
      <w:r>
        <w:rPr>
          <w:rFonts w:hint="eastAsia" w:hAnsi="宋体"/>
          <w:spacing w:val="10"/>
          <w:sz w:val="24"/>
        </w:rPr>
        <w:t>进行</w:t>
      </w:r>
      <w:r>
        <w:rPr>
          <w:rFonts w:hAnsi="宋体"/>
          <w:spacing w:val="10"/>
          <w:sz w:val="24"/>
        </w:rPr>
        <w:t>修正，如果认为在15天内来不及纠正时，应提出修正计划。如果得不到纠正或提不出修正计划，甲方将保留中止本合同的一部分或全部的权利。对于这种中止，甲方将不出具变更通知书，由此而发生的一切费用、损失和索赔将由乙方负担。如果乙方的违约行为本合同其它条款有明确规定，则按有关条款处理。</w:t>
      </w:r>
    </w:p>
    <w:p w14:paraId="6FC8B96A">
      <w:pPr>
        <w:spacing w:line="360" w:lineRule="auto"/>
        <w:rPr>
          <w:rFonts w:hint="eastAsia" w:hAnsi="宋体"/>
          <w:spacing w:val="10"/>
          <w:sz w:val="24"/>
        </w:rPr>
      </w:pPr>
      <w:r>
        <w:rPr>
          <w:rFonts w:hAnsi="宋体"/>
          <w:spacing w:val="10"/>
          <w:sz w:val="24"/>
        </w:rPr>
        <w:t>8.3 如果甲方行使中止权利，甲方有权停付到期应向乙方支付中止部分的款项。</w:t>
      </w:r>
    </w:p>
    <w:p w14:paraId="7F395AC0">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9</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合同争议的解决</w:t>
      </w:r>
    </w:p>
    <w:p w14:paraId="19805A7B">
      <w:pPr>
        <w:spacing w:line="360" w:lineRule="auto"/>
        <w:ind w:firstLine="0" w:firstLineChars="0"/>
        <w:rPr>
          <w:rFonts w:hint="eastAsia" w:hAnsi="宋体"/>
          <w:spacing w:val="10"/>
          <w:sz w:val="24"/>
        </w:rPr>
      </w:pPr>
      <w:r>
        <w:rPr>
          <w:rFonts w:hAnsi="宋体"/>
          <w:spacing w:val="10"/>
          <w:sz w:val="24"/>
        </w:rPr>
        <w:t xml:space="preserve"> 凡与本合同有关而引起的一切争议，双方应首先通过友好协商解决，如经协商后仍不能达成协议时，则提交双方上级主管部门调解。如仍不能解决，</w:t>
      </w:r>
      <w:r>
        <w:rPr>
          <w:rFonts w:hint="eastAsia" w:hAnsi="宋体"/>
          <w:spacing w:val="10"/>
          <w:sz w:val="24"/>
        </w:rPr>
        <w:t>通过来宾当地法院诉讼解决。</w:t>
      </w:r>
    </w:p>
    <w:p w14:paraId="4AA78815">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10</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不可抗力</w:t>
      </w:r>
    </w:p>
    <w:p w14:paraId="752472CC">
      <w:pPr>
        <w:spacing w:line="360" w:lineRule="auto"/>
        <w:rPr>
          <w:rFonts w:hAnsi="宋体"/>
          <w:spacing w:val="10"/>
          <w:sz w:val="24"/>
        </w:rPr>
      </w:pPr>
      <w:r>
        <w:rPr>
          <w:rFonts w:hAnsi="宋体"/>
          <w:spacing w:val="10"/>
          <w:sz w:val="24"/>
        </w:rPr>
        <w:t xml:space="preserve">10.1 </w:t>
      </w:r>
      <w:r>
        <w:rPr>
          <w:rFonts w:hint="eastAsia" w:hAnsi="宋体"/>
          <w:spacing w:val="10"/>
          <w:sz w:val="24"/>
        </w:rPr>
        <w:t xml:space="preserve"> </w:t>
      </w:r>
      <w:r>
        <w:rPr>
          <w:rFonts w:hAnsi="宋体"/>
          <w:spacing w:val="10"/>
          <w:sz w:val="24"/>
        </w:rPr>
        <w:t>不可抗力是指：严重的自然灾害和灾难（如台风、洪水、地震、火灾和爆炸等）、战争（不论是否宣战）、叛乱、动乱等等。合同双方中的任何一方，由于不可抗力事件而影响合同义务的执行时，则延迟履行合同义务的期限相当于不可抗力事件影响的时间，但是不能因为不可抗力的延迟而调整合同价格。</w:t>
      </w:r>
    </w:p>
    <w:p w14:paraId="3939145D">
      <w:pPr>
        <w:spacing w:line="360" w:lineRule="auto"/>
        <w:rPr>
          <w:rFonts w:hAnsi="宋体"/>
          <w:spacing w:val="10"/>
          <w:sz w:val="24"/>
        </w:rPr>
      </w:pPr>
      <w:r>
        <w:rPr>
          <w:rFonts w:hAnsi="宋体"/>
          <w:spacing w:val="10"/>
          <w:sz w:val="24"/>
        </w:rPr>
        <w:t xml:space="preserve">10.2 </w:t>
      </w:r>
      <w:r>
        <w:rPr>
          <w:rFonts w:hint="eastAsia" w:hAnsi="宋体"/>
          <w:spacing w:val="10"/>
          <w:sz w:val="24"/>
        </w:rPr>
        <w:t xml:space="preserve"> </w:t>
      </w:r>
      <w:r>
        <w:rPr>
          <w:rFonts w:hAnsi="宋体"/>
          <w:spacing w:val="10"/>
          <w:sz w:val="24"/>
        </w:rPr>
        <w:t>受到不可抗力影响的一方应在不可抗力事故发生后，尽快将所发生的不可抗力事件的情况以传真通知另一方，并在15天内将有关当局出具的证明文件提交给另一方审阅确认，受影响的一方同时应尽量设法缩小这种影响和由此而引起的延误，一旦不可抗力的影响消除后，应将此情况立即通知对方。</w:t>
      </w:r>
    </w:p>
    <w:p w14:paraId="142B82C6">
      <w:pPr>
        <w:spacing w:line="360" w:lineRule="auto"/>
        <w:rPr>
          <w:rFonts w:hint="eastAsia" w:hAnsi="宋体"/>
          <w:spacing w:val="10"/>
          <w:sz w:val="24"/>
        </w:rPr>
      </w:pPr>
      <w:r>
        <w:rPr>
          <w:rFonts w:hAnsi="宋体"/>
          <w:spacing w:val="10"/>
          <w:sz w:val="24"/>
        </w:rPr>
        <w:t xml:space="preserve">10.3 </w:t>
      </w:r>
      <w:r>
        <w:rPr>
          <w:rFonts w:hint="eastAsia" w:hAnsi="宋体"/>
          <w:spacing w:val="10"/>
          <w:sz w:val="24"/>
        </w:rPr>
        <w:t xml:space="preserve"> </w:t>
      </w:r>
      <w:r>
        <w:rPr>
          <w:rFonts w:hAnsi="宋体"/>
          <w:spacing w:val="10"/>
          <w:sz w:val="24"/>
        </w:rPr>
        <w:t>如双方对不可抗力事件的影响估计将延续到120天以上时，双方应通过友好协商解决本合同的执行问题。</w:t>
      </w:r>
    </w:p>
    <w:p w14:paraId="235991A5">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11 </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专利权</w:t>
      </w:r>
    </w:p>
    <w:p w14:paraId="59448C0D">
      <w:pPr>
        <w:spacing w:line="360" w:lineRule="auto"/>
        <w:rPr>
          <w:rFonts w:hAnsi="宋体"/>
          <w:spacing w:val="10"/>
          <w:sz w:val="24"/>
        </w:rPr>
      </w:pPr>
      <w:r>
        <w:rPr>
          <w:rFonts w:hAnsi="宋体"/>
          <w:spacing w:val="10"/>
          <w:sz w:val="24"/>
        </w:rPr>
        <w:t xml:space="preserve">11.1 </w:t>
      </w:r>
      <w:r>
        <w:rPr>
          <w:rFonts w:hint="eastAsia" w:hAnsi="宋体"/>
          <w:spacing w:val="10"/>
          <w:sz w:val="24"/>
        </w:rPr>
        <w:t xml:space="preserve"> </w:t>
      </w:r>
      <w:r>
        <w:rPr>
          <w:rFonts w:hAnsi="宋体"/>
          <w:spacing w:val="10"/>
          <w:sz w:val="24"/>
        </w:rPr>
        <w:t>合同双方应分别为对方在合同履行过程中涉及的商业和技术等秘密保密，违者应对由此造成的后果承担责任。</w:t>
      </w:r>
    </w:p>
    <w:p w14:paraId="664A0019">
      <w:pPr>
        <w:spacing w:line="360" w:lineRule="auto"/>
        <w:rPr>
          <w:rFonts w:hint="eastAsia" w:hAnsi="宋体"/>
          <w:spacing w:val="10"/>
          <w:sz w:val="24"/>
        </w:rPr>
      </w:pPr>
      <w:r>
        <w:rPr>
          <w:rFonts w:hAnsi="宋体"/>
          <w:spacing w:val="10"/>
          <w:sz w:val="24"/>
        </w:rPr>
        <w:t xml:space="preserve">11.2 </w:t>
      </w:r>
      <w:r>
        <w:rPr>
          <w:rFonts w:hint="eastAsia" w:hAnsi="宋体"/>
          <w:spacing w:val="10"/>
          <w:sz w:val="24"/>
        </w:rPr>
        <w:t xml:space="preserve"> </w:t>
      </w:r>
      <w:r>
        <w:rPr>
          <w:rFonts w:hAnsi="宋体"/>
          <w:spacing w:val="10"/>
          <w:sz w:val="24"/>
        </w:rPr>
        <w:t>乙方应保证甲方在中国范围内使用其服务及其任何部分不受到第三方关于侵犯专利权或其它知识产权的起诉。任何第三方如果提出起诉，乙方须与第三方交涉并承担由此而引起的一切法律责任和费用。</w:t>
      </w:r>
    </w:p>
    <w:p w14:paraId="45A5CF9C">
      <w:pPr>
        <w:spacing w:line="360" w:lineRule="auto"/>
        <w:rPr>
          <w:rFonts w:hint="eastAsia" w:hAnsi="宋体"/>
          <w:spacing w:val="10"/>
          <w:sz w:val="24"/>
        </w:rPr>
      </w:pPr>
    </w:p>
    <w:p w14:paraId="2655140B">
      <w:pPr>
        <w:keepNext/>
        <w:keepLines/>
        <w:widowControl w:val="0"/>
        <w:snapToGrid w:val="0"/>
        <w:spacing w:before="156" w:beforeLines="50" w:after="156" w:afterLines="50" w:line="360" w:lineRule="auto"/>
        <w:jc w:val="center"/>
        <w:outlineLvl w:val="1"/>
        <w:rPr>
          <w:rFonts w:ascii="Times New Roman" w:hAnsi="Times New Roman" w:eastAsia="宋体" w:cs="Times New Roman"/>
          <w:b/>
          <w:bCs/>
          <w:kern w:val="2"/>
          <w:sz w:val="32"/>
          <w:szCs w:val="32"/>
          <w:lang w:val="en-US" w:eastAsia="zh-CN" w:bidi="ar-SA"/>
        </w:rPr>
      </w:pPr>
      <w:r>
        <w:rPr>
          <w:rFonts w:ascii="Times New Roman" w:hAnsi="Times New Roman" w:eastAsia="宋体" w:cs="Times New Roman"/>
          <w:b/>
          <w:bCs/>
          <w:kern w:val="2"/>
          <w:sz w:val="32"/>
          <w:szCs w:val="32"/>
          <w:lang w:val="en-US" w:eastAsia="zh-CN" w:bidi="ar-SA"/>
        </w:rPr>
        <w:t xml:space="preserve">12 </w:t>
      </w:r>
      <w:r>
        <w:rPr>
          <w:rFonts w:hint="eastAsia" w:ascii="Times New Roman" w:hAnsi="Times New Roman" w:eastAsia="宋体" w:cs="Times New Roman"/>
          <w:b/>
          <w:bCs/>
          <w:kern w:val="2"/>
          <w:sz w:val="32"/>
          <w:szCs w:val="32"/>
          <w:lang w:val="en-US" w:eastAsia="zh-CN" w:bidi="ar-SA"/>
        </w:rPr>
        <w:t xml:space="preserve"> </w:t>
      </w:r>
      <w:r>
        <w:rPr>
          <w:rFonts w:ascii="Times New Roman" w:hAnsi="Arial" w:eastAsia="宋体" w:cs="Times New Roman"/>
          <w:b/>
          <w:bCs/>
          <w:kern w:val="2"/>
          <w:sz w:val="32"/>
          <w:szCs w:val="32"/>
          <w:lang w:val="en-US" w:eastAsia="zh-CN" w:bidi="ar-SA"/>
        </w:rPr>
        <w:t>保险</w:t>
      </w:r>
    </w:p>
    <w:p w14:paraId="2246D4FE">
      <w:pPr>
        <w:spacing w:line="360" w:lineRule="auto"/>
        <w:ind w:firstLine="520" w:firstLineChars="200"/>
        <w:rPr>
          <w:rFonts w:hint="eastAsia" w:hAnsi="宋体"/>
          <w:spacing w:val="10"/>
          <w:sz w:val="24"/>
        </w:rPr>
      </w:pPr>
      <w:r>
        <w:rPr>
          <w:rFonts w:hAnsi="宋体"/>
          <w:spacing w:val="10"/>
          <w:sz w:val="24"/>
        </w:rPr>
        <w:t>乙方须对本合同项目的服务人员的技术</w:t>
      </w:r>
      <w:r>
        <w:rPr>
          <w:rFonts w:hint="eastAsia" w:hAnsi="宋体"/>
          <w:spacing w:val="10"/>
          <w:sz w:val="24"/>
        </w:rPr>
        <w:t>服务</w:t>
      </w:r>
      <w:r>
        <w:rPr>
          <w:rFonts w:hAnsi="宋体"/>
          <w:spacing w:val="10"/>
          <w:sz w:val="24"/>
        </w:rPr>
        <w:t>工作，向保险公司以乙方为受益人投保相应的保险。</w:t>
      </w:r>
    </w:p>
    <w:p w14:paraId="0F0A79D2">
      <w:pPr>
        <w:spacing w:line="360" w:lineRule="auto"/>
        <w:ind w:firstLine="520" w:firstLineChars="200"/>
        <w:rPr>
          <w:rFonts w:hint="eastAsia" w:hAnsi="宋体"/>
          <w:spacing w:val="10"/>
          <w:sz w:val="24"/>
        </w:rPr>
      </w:pPr>
    </w:p>
    <w:p w14:paraId="16036480">
      <w:pPr>
        <w:spacing w:line="360" w:lineRule="auto"/>
        <w:ind w:firstLine="520" w:firstLineChars="200"/>
        <w:rPr>
          <w:rFonts w:hint="eastAsia" w:hAnsi="宋体"/>
          <w:spacing w:val="10"/>
          <w:sz w:val="24"/>
        </w:rPr>
      </w:pPr>
    </w:p>
    <w:p w14:paraId="487321D7">
      <w:pPr>
        <w:spacing w:line="360" w:lineRule="auto"/>
        <w:ind w:firstLine="520" w:firstLineChars="200"/>
        <w:rPr>
          <w:rFonts w:hint="eastAsia" w:hAnsi="宋体"/>
          <w:spacing w:val="10"/>
          <w:sz w:val="24"/>
        </w:rPr>
      </w:pPr>
    </w:p>
    <w:p w14:paraId="007C0A5A">
      <w:pPr>
        <w:spacing w:line="240" w:lineRule="auto"/>
        <w:ind w:firstLine="0" w:firstLineChars="0"/>
        <w:rPr>
          <w:rFonts w:hint="eastAsia" w:hAnsi="宋体"/>
          <w:spacing w:val="10"/>
          <w:sz w:val="24"/>
        </w:rPr>
        <w:sectPr>
          <w:headerReference r:id="rId7" w:type="default"/>
          <w:footerReference r:id="rId8" w:type="default"/>
          <w:pgSz w:w="11906" w:h="16838"/>
          <w:pgMar w:top="1440" w:right="1800" w:bottom="1440" w:left="1800" w:header="851" w:footer="992" w:gutter="0"/>
          <w:cols w:space="720" w:num="1"/>
          <w:docGrid w:type="lines" w:linePitch="312" w:charSpace="0"/>
        </w:sectPr>
      </w:pPr>
      <w:r>
        <w:rPr>
          <w:rFonts w:hint="eastAsia" w:hAnsi="宋体"/>
          <w:spacing w:val="10"/>
          <w:sz w:val="24"/>
        </w:rPr>
        <w:br w:type="page"/>
      </w:r>
    </w:p>
    <w:p w14:paraId="4E553948">
      <w:pPr>
        <w:spacing w:line="360" w:lineRule="auto"/>
        <w:ind w:firstLine="0" w:firstLineChars="0"/>
        <w:rPr>
          <w:rFonts w:hint="eastAsia" w:hAnsi="宋体"/>
          <w:spacing w:val="10"/>
          <w:sz w:val="24"/>
        </w:rPr>
      </w:pPr>
    </w:p>
    <w:p w14:paraId="1295CF36">
      <w:pPr>
        <w:spacing w:line="360" w:lineRule="auto"/>
        <w:jc w:val="left"/>
        <w:rPr>
          <w:rFonts w:hint="eastAsia"/>
          <w:b/>
          <w:sz w:val="28"/>
          <w:szCs w:val="28"/>
        </w:rPr>
      </w:pPr>
      <w:r>
        <w:rPr>
          <w:rFonts w:hint="eastAsia"/>
          <w:b/>
          <w:sz w:val="28"/>
          <w:szCs w:val="28"/>
        </w:rPr>
        <w:t>附件：</w:t>
      </w:r>
    </w:p>
    <w:p w14:paraId="7DC38CC9">
      <w:pPr>
        <w:spacing w:line="360" w:lineRule="auto"/>
        <w:jc w:val="center"/>
        <w:rPr>
          <w:b/>
          <w:sz w:val="28"/>
          <w:szCs w:val="28"/>
          <w14:shadow w14:blurRad="50800" w14:dist="38100" w14:dir="2700000" w14:sx="100000" w14:sy="100000" w14:kx="0" w14:ky="0" w14:algn="tl">
            <w14:srgbClr w14:val="000000">
              <w14:alpha w14:val="60000"/>
            </w14:srgbClr>
          </w14:shadow>
        </w:rPr>
      </w:pPr>
      <w:r>
        <w:rPr>
          <w:rFonts w:hint="eastAsia" w:eastAsia="宋体"/>
          <w:b/>
          <w:sz w:val="28"/>
          <w:szCs w:val="28"/>
          <w:lang w:eastAsia="zh-CN"/>
          <w14:shadow w14:blurRad="50800" w14:dist="38100" w14:dir="2700000" w14:sx="100000" w14:sy="100000" w14:kx="0" w14:ky="0" w14:algn="tl">
            <w14:srgbClr w14:val="000000">
              <w14:alpha w14:val="60000"/>
            </w14:srgbClr>
          </w14:shadow>
        </w:rPr>
        <w:t>阳朔县深能环保有限公司</w:t>
      </w:r>
      <w:r>
        <w:rPr>
          <w:rFonts w:hint="eastAsia"/>
          <w:b/>
          <w:sz w:val="28"/>
          <w:szCs w:val="28"/>
          <w14:shadow w14:blurRad="50800" w14:dist="38100" w14:dir="2700000" w14:sx="100000" w14:sy="100000" w14:kx="0" w14:ky="0" w14:algn="tl">
            <w14:srgbClr w14:val="000000">
              <w14:alpha w14:val="60000"/>
            </w14:srgbClr>
          </w14:shadow>
        </w:rPr>
        <w:t>202</w:t>
      </w:r>
      <w:r>
        <w:rPr>
          <w:rFonts w:hint="eastAsia"/>
          <w:b/>
          <w:sz w:val="28"/>
          <w:szCs w:val="28"/>
          <w:lang w:val="en-US" w:eastAsia="zh-CN"/>
          <w14:shadow w14:blurRad="50800" w14:dist="38100" w14:dir="2700000" w14:sx="100000" w14:sy="100000" w14:kx="0" w14:ky="0" w14:algn="tl">
            <w14:srgbClr w14:val="000000">
              <w14:alpha w14:val="60000"/>
            </w14:srgbClr>
          </w14:shadow>
        </w:rPr>
        <w:t>6</w:t>
      </w:r>
      <w:r>
        <w:rPr>
          <w:b/>
          <w:sz w:val="28"/>
          <w:szCs w:val="28"/>
          <w14:shadow w14:blurRad="50800" w14:dist="38100" w14:dir="2700000" w14:sx="100000" w14:sy="100000" w14:kx="0" w14:ky="0" w14:algn="tl">
            <w14:srgbClr w14:val="000000">
              <w14:alpha w14:val="60000"/>
            </w14:srgbClr>
          </w14:shadow>
        </w:rPr>
        <w:t>—</w:t>
      </w:r>
      <w:r>
        <w:rPr>
          <w:rFonts w:hint="eastAsia"/>
          <w:b/>
          <w:sz w:val="28"/>
          <w:szCs w:val="28"/>
          <w14:shadow w14:blurRad="50800" w14:dist="38100" w14:dir="2700000" w14:sx="100000" w14:sy="100000" w14:kx="0" w14:ky="0" w14:algn="tl">
            <w14:srgbClr w14:val="000000">
              <w14:alpha w14:val="60000"/>
            </w14:srgbClr>
          </w14:shadow>
        </w:rPr>
        <w:t>202</w:t>
      </w:r>
      <w:r>
        <w:rPr>
          <w:rFonts w:hint="eastAsia"/>
          <w:b/>
          <w:sz w:val="28"/>
          <w:szCs w:val="28"/>
          <w:lang w:val="en-US" w:eastAsia="zh-CN"/>
          <w14:shadow w14:blurRad="50800" w14:dist="38100" w14:dir="2700000" w14:sx="100000" w14:sy="100000" w14:kx="0" w14:ky="0" w14:algn="tl">
            <w14:srgbClr w14:val="000000">
              <w14:alpha w14:val="60000"/>
            </w14:srgbClr>
          </w14:shadow>
        </w:rPr>
        <w:t>7</w:t>
      </w:r>
      <w:r>
        <w:rPr>
          <w:rFonts w:hint="eastAsia"/>
          <w:b/>
          <w:sz w:val="28"/>
          <w:szCs w:val="28"/>
          <w14:shadow w14:blurRad="50800" w14:dist="38100" w14:dir="2700000" w14:sx="100000" w14:sy="100000" w14:kx="0" w14:ky="0" w14:algn="tl">
            <w14:srgbClr w14:val="000000">
              <w14:alpha w14:val="60000"/>
            </w14:srgbClr>
          </w14:shadow>
        </w:rPr>
        <w:t xml:space="preserve"> 年电力技术固定服务项目范围及内容</w:t>
      </w:r>
    </w:p>
    <w:p w14:paraId="471D5953">
      <w:pPr>
        <w:spacing w:line="360" w:lineRule="auto"/>
        <w:jc w:val="center"/>
        <w:rPr>
          <w:rFonts w:hint="eastAsia"/>
          <w:b/>
          <w:sz w:val="28"/>
          <w:szCs w:val="28"/>
        </w:rPr>
      </w:pPr>
    </w:p>
    <w:p w14:paraId="0DCCCA50">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w:t>
      </w:r>
      <w:r>
        <w:rPr>
          <w:rFonts w:ascii="Times New Roman" w:hAnsi="Times New Roman" w:eastAsia="宋体" w:cs="Times New Roman"/>
          <w:kern w:val="2"/>
          <w:sz w:val="24"/>
          <w:szCs w:val="24"/>
          <w:lang w:val="en-US" w:eastAsia="zh-CN" w:bidi="ar-SA"/>
        </w:rPr>
        <w:t>专业：金属（压力容器及承压部件）</w:t>
      </w:r>
    </w:p>
    <w:tbl>
      <w:tblPr>
        <w:tblStyle w:val="27"/>
        <w:tblW w:w="0" w:type="auto"/>
        <w:tblInd w:w="-15" w:type="dxa"/>
        <w:tblLayout w:type="fixed"/>
        <w:tblCellMar>
          <w:top w:w="0" w:type="dxa"/>
          <w:left w:w="0" w:type="dxa"/>
          <w:bottom w:w="0" w:type="dxa"/>
          <w:right w:w="0" w:type="dxa"/>
        </w:tblCellMar>
      </w:tblPr>
      <w:tblGrid>
        <w:gridCol w:w="605"/>
        <w:gridCol w:w="5364"/>
        <w:gridCol w:w="5670"/>
        <w:gridCol w:w="2416"/>
      </w:tblGrid>
      <w:tr w14:paraId="127B02AD">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5DD765C8">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4F5DE4DC">
            <w:pPr>
              <w:jc w:val="center"/>
              <w:rPr>
                <w:rFonts w:eastAsia="黑体"/>
                <w:sz w:val="24"/>
              </w:rPr>
            </w:pPr>
            <w:r>
              <w:rPr>
                <w:rFonts w:eastAsia="黑体"/>
                <w:sz w:val="24"/>
              </w:rPr>
              <w:t>工作范围</w:t>
            </w:r>
          </w:p>
        </w:tc>
        <w:tc>
          <w:tcPr>
            <w:tcW w:w="5670" w:type="dxa"/>
            <w:tcBorders>
              <w:top w:val="single" w:color="auto" w:sz="4" w:space="0"/>
              <w:left w:val="nil"/>
              <w:bottom w:val="single" w:color="auto" w:sz="4" w:space="0"/>
              <w:right w:val="single" w:color="auto" w:sz="4" w:space="0"/>
            </w:tcBorders>
            <w:noWrap w:val="0"/>
            <w:vAlign w:val="center"/>
          </w:tcPr>
          <w:p w14:paraId="29FF1DD9">
            <w:pPr>
              <w:jc w:val="center"/>
              <w:rPr>
                <w:rFonts w:hint="eastAsia" w:eastAsia="黑体"/>
                <w:sz w:val="24"/>
              </w:rPr>
            </w:pPr>
            <w:r>
              <w:rPr>
                <w:rFonts w:eastAsia="黑体"/>
                <w:sz w:val="24"/>
              </w:rPr>
              <w:t>工作内容</w:t>
            </w:r>
            <w:r>
              <w:rPr>
                <w:rFonts w:hint="eastAsia" w:eastAsia="黑体"/>
                <w:sz w:val="24"/>
              </w:rPr>
              <w:t>及要求</w:t>
            </w:r>
          </w:p>
        </w:tc>
        <w:tc>
          <w:tcPr>
            <w:tcW w:w="2416" w:type="dxa"/>
            <w:tcBorders>
              <w:top w:val="single" w:color="auto" w:sz="4" w:space="0"/>
              <w:left w:val="nil"/>
              <w:bottom w:val="single" w:color="auto" w:sz="4" w:space="0"/>
              <w:right w:val="single" w:color="auto" w:sz="4" w:space="0"/>
            </w:tcBorders>
            <w:noWrap w:val="0"/>
            <w:vAlign w:val="top"/>
          </w:tcPr>
          <w:p w14:paraId="1EBAE8F2">
            <w:pPr>
              <w:jc w:val="center"/>
              <w:rPr>
                <w:rFonts w:eastAsia="黑体"/>
                <w:sz w:val="24"/>
              </w:rPr>
            </w:pPr>
            <w:r>
              <w:rPr>
                <w:rFonts w:eastAsia="黑体"/>
                <w:sz w:val="24"/>
              </w:rPr>
              <w:t>备注</w:t>
            </w:r>
          </w:p>
        </w:tc>
      </w:tr>
      <w:tr w14:paraId="75E642F1">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2A238C81">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58230B37">
            <w:pPr>
              <w:rPr>
                <w:rFonts w:hint="eastAsia"/>
                <w:sz w:val="24"/>
              </w:rPr>
            </w:pPr>
            <w:r>
              <w:rPr>
                <w:b/>
                <w:sz w:val="24"/>
              </w:rPr>
              <w:t>归口管理：</w:t>
            </w:r>
            <w:r>
              <w:rPr>
                <w:sz w:val="24"/>
              </w:rPr>
              <w:t>甲方</w:t>
            </w:r>
            <w:r>
              <w:rPr>
                <w:rFonts w:hint="eastAsia"/>
                <w:sz w:val="24"/>
              </w:rPr>
              <w:t>发电设备</w:t>
            </w:r>
            <w:r>
              <w:rPr>
                <w:sz w:val="24"/>
              </w:rPr>
              <w:t>的高温高压管道和部件</w:t>
            </w:r>
            <w:r>
              <w:rPr>
                <w:rFonts w:hint="eastAsia"/>
                <w:sz w:val="24"/>
              </w:rPr>
              <w:t>、常压部件</w:t>
            </w:r>
            <w:r>
              <w:rPr>
                <w:sz w:val="24"/>
              </w:rPr>
              <w:t>进行金属技术监控服务，其中包括：主蒸汽管道、过热器管、联箱、导汽管、汽缸、阀门、隔板、三通、紧固件、水冷壁管、省煤器管、给水管道、汽包、除氧器、汽机大轴、叶轮、叶片、叶根、发电机大轴、护环、机炉外管等，对焊接材料及焊缝的质量进行监</w:t>
            </w:r>
            <w:r>
              <w:rPr>
                <w:rFonts w:hint="eastAsia"/>
                <w:sz w:val="24"/>
              </w:rPr>
              <w:t>控（重点是大、小修期间）</w:t>
            </w:r>
            <w:r>
              <w:rPr>
                <w:sz w:val="24"/>
              </w:rPr>
              <w:t>，并对焊接修复工作进行指导</w:t>
            </w:r>
            <w:r>
              <w:rPr>
                <w:rFonts w:hint="eastAsia"/>
                <w:sz w:val="24"/>
              </w:rPr>
              <w:t>。</w:t>
            </w:r>
          </w:p>
        </w:tc>
        <w:tc>
          <w:tcPr>
            <w:tcW w:w="5670" w:type="dxa"/>
            <w:tcBorders>
              <w:top w:val="nil"/>
              <w:left w:val="nil"/>
              <w:bottom w:val="single" w:color="auto" w:sz="4" w:space="0"/>
              <w:right w:val="single" w:color="auto" w:sz="4" w:space="0"/>
            </w:tcBorders>
            <w:noWrap w:val="0"/>
            <w:vAlign w:val="top"/>
          </w:tcPr>
          <w:p w14:paraId="0114197B">
            <w:pPr>
              <w:numPr>
                <w:ilvl w:val="0"/>
                <w:numId w:val="3"/>
              </w:numPr>
              <w:ind w:left="420" w:hanging="420"/>
              <w:rPr>
                <w:rFonts w:hint="eastAsia"/>
                <w:sz w:val="24"/>
              </w:rPr>
            </w:pPr>
            <w:r>
              <w:rPr>
                <w:rFonts w:hAnsi="宋体"/>
                <w:sz w:val="24"/>
              </w:rPr>
              <w:t>按</w:t>
            </w:r>
            <w:r>
              <w:rPr>
                <w:rFonts w:hint="eastAsia"/>
                <w:sz w:val="24"/>
              </w:rPr>
              <w:t>《广西电力技术专业监控考核办法》</w:t>
            </w:r>
            <w:r>
              <w:rPr>
                <w:sz w:val="24"/>
              </w:rPr>
              <w:t>及</w:t>
            </w:r>
            <w:r>
              <w:rPr>
                <w:rFonts w:hAnsi="宋体"/>
                <w:sz w:val="24"/>
              </w:rPr>
              <w:t>电力行业金属</w:t>
            </w:r>
            <w:r>
              <w:rPr>
                <w:rFonts w:hint="eastAsia" w:hAnsi="宋体"/>
                <w:sz w:val="24"/>
              </w:rPr>
              <w:t>监控</w:t>
            </w:r>
            <w:r>
              <w:rPr>
                <w:rFonts w:hAnsi="宋体"/>
                <w:sz w:val="24"/>
              </w:rPr>
              <w:t>规程进行</w:t>
            </w:r>
            <w:r>
              <w:rPr>
                <w:sz w:val="24"/>
              </w:rPr>
              <w:t>技术监控管理。</w:t>
            </w:r>
          </w:p>
          <w:p w14:paraId="3934342F">
            <w:pPr>
              <w:numPr>
                <w:ilvl w:val="0"/>
                <w:numId w:val="3"/>
              </w:numPr>
              <w:ind w:left="420" w:hanging="420"/>
              <w:rPr>
                <w:rFonts w:hint="eastAsia"/>
                <w:sz w:val="24"/>
              </w:rPr>
            </w:pPr>
            <w:r>
              <w:rPr>
                <w:rFonts w:hint="eastAsia"/>
                <w:sz w:val="24"/>
              </w:rPr>
              <w:t>检查、指导、监督甲方开展锅炉及附属设备技术监督管理工作，协助解决金属技术监督方面存在的问题。</w:t>
            </w:r>
          </w:p>
        </w:tc>
        <w:tc>
          <w:tcPr>
            <w:tcW w:w="2416" w:type="dxa"/>
            <w:tcBorders>
              <w:top w:val="nil"/>
              <w:left w:val="nil"/>
              <w:bottom w:val="single" w:color="auto" w:sz="4" w:space="0"/>
              <w:right w:val="single" w:color="auto" w:sz="4" w:space="0"/>
            </w:tcBorders>
            <w:noWrap w:val="0"/>
            <w:vAlign w:val="top"/>
          </w:tcPr>
          <w:p w14:paraId="3915B86E">
            <w:pPr>
              <w:rPr>
                <w:sz w:val="24"/>
              </w:rPr>
            </w:pPr>
          </w:p>
        </w:tc>
      </w:tr>
      <w:tr w14:paraId="224D697F">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A033B8E">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757D6F7C">
            <w:pPr>
              <w:rPr>
                <w:rFonts w:hint="eastAsia"/>
                <w:sz w:val="24"/>
              </w:rPr>
            </w:pPr>
            <w:r>
              <w:rPr>
                <w:b/>
                <w:sz w:val="24"/>
              </w:rPr>
              <w:t>方案审查：</w:t>
            </w:r>
            <w:r>
              <w:rPr>
                <w:rFonts w:hint="eastAsia"/>
                <w:sz w:val="24"/>
              </w:rPr>
              <w:t>参加新建、扩建、改建项目中主要金属设备、金属材料检验项目的审查。对送达的</w:t>
            </w:r>
            <w:r>
              <w:rPr>
                <w:sz w:val="24"/>
              </w:rPr>
              <w:t>大小修金属检测项目</w:t>
            </w:r>
            <w:r>
              <w:rPr>
                <w:rFonts w:hint="eastAsia"/>
                <w:sz w:val="24"/>
              </w:rPr>
              <w:t>、方案、报告进行</w:t>
            </w:r>
            <w:r>
              <w:rPr>
                <w:sz w:val="24"/>
              </w:rPr>
              <w:t>审核，负责对检修时出现的缺陷提出处理建议或方案</w:t>
            </w:r>
            <w:r>
              <w:rPr>
                <w:rFonts w:hint="eastAsia"/>
                <w:sz w:val="24"/>
              </w:rPr>
              <w:t>。</w:t>
            </w:r>
          </w:p>
        </w:tc>
        <w:tc>
          <w:tcPr>
            <w:tcW w:w="5670" w:type="dxa"/>
            <w:tcBorders>
              <w:top w:val="nil"/>
              <w:left w:val="nil"/>
              <w:bottom w:val="single" w:color="auto" w:sz="4" w:space="0"/>
              <w:right w:val="single" w:color="auto" w:sz="4" w:space="0"/>
            </w:tcBorders>
            <w:noWrap w:val="0"/>
            <w:vAlign w:val="center"/>
          </w:tcPr>
          <w:p w14:paraId="4E942806">
            <w:pPr>
              <w:numPr>
                <w:ilvl w:val="0"/>
                <w:numId w:val="2"/>
              </w:numPr>
              <w:ind w:left="420" w:hanging="42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72BFD415">
            <w:pPr>
              <w:numPr>
                <w:ilvl w:val="0"/>
                <w:numId w:val="2"/>
              </w:numPr>
              <w:ind w:left="420" w:hanging="420"/>
              <w:rPr>
                <w:rFonts w:hint="eastAsia"/>
                <w:sz w:val="24"/>
              </w:rPr>
            </w:pPr>
            <w:r>
              <w:rPr>
                <w:sz w:val="24"/>
              </w:rPr>
              <w:t>大小修</w:t>
            </w:r>
            <w:r>
              <w:rPr>
                <w:rFonts w:hint="eastAsia"/>
                <w:sz w:val="24"/>
              </w:rPr>
              <w:t>期间乙方应派员对金属技术监督进行技术指导，发现问题时</w:t>
            </w:r>
            <w:r>
              <w:rPr>
                <w:sz w:val="24"/>
              </w:rPr>
              <w:t>提出处理建议或方案</w:t>
            </w:r>
            <w:r>
              <w:rPr>
                <w:rFonts w:hint="eastAsia"/>
                <w:sz w:val="24"/>
              </w:rPr>
              <w:t>。</w:t>
            </w:r>
          </w:p>
        </w:tc>
        <w:tc>
          <w:tcPr>
            <w:tcW w:w="2416" w:type="dxa"/>
            <w:tcBorders>
              <w:top w:val="nil"/>
              <w:left w:val="nil"/>
              <w:bottom w:val="single" w:color="auto" w:sz="4" w:space="0"/>
              <w:right w:val="single" w:color="auto" w:sz="4" w:space="0"/>
            </w:tcBorders>
            <w:noWrap w:val="0"/>
            <w:vAlign w:val="top"/>
          </w:tcPr>
          <w:p w14:paraId="03A4DC69">
            <w:pPr>
              <w:rPr>
                <w:sz w:val="24"/>
              </w:rPr>
            </w:pPr>
          </w:p>
        </w:tc>
      </w:tr>
      <w:tr w14:paraId="44E8DC23">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AA34D29">
            <w:pPr>
              <w:jc w:val="center"/>
              <w:rPr>
                <w:sz w:val="24"/>
              </w:rPr>
            </w:pPr>
            <w:r>
              <w:rPr>
                <w:sz w:val="24"/>
              </w:rPr>
              <w:t>4</w:t>
            </w:r>
          </w:p>
        </w:tc>
        <w:tc>
          <w:tcPr>
            <w:tcW w:w="5364" w:type="dxa"/>
            <w:tcBorders>
              <w:top w:val="nil"/>
              <w:left w:val="nil"/>
              <w:bottom w:val="single" w:color="auto" w:sz="4" w:space="0"/>
              <w:right w:val="single" w:color="auto" w:sz="4" w:space="0"/>
            </w:tcBorders>
            <w:noWrap w:val="0"/>
            <w:vAlign w:val="center"/>
          </w:tcPr>
          <w:p w14:paraId="04EC02D9">
            <w:pPr>
              <w:rPr>
                <w:rFonts w:hint="eastAsia"/>
                <w:sz w:val="24"/>
              </w:rPr>
            </w:pPr>
            <w:r>
              <w:rPr>
                <w:b/>
                <w:sz w:val="24"/>
              </w:rPr>
              <w:t>交流培训：</w:t>
            </w:r>
            <w:r>
              <w:rPr>
                <w:rFonts w:hint="eastAsia"/>
                <w:sz w:val="24"/>
              </w:rPr>
              <w:t xml:space="preserve">组织金属专业专业人员参加广西电力系统（电源侧）技术监督网的金属专业技术交流会或技术培训班； </w:t>
            </w:r>
          </w:p>
          <w:p w14:paraId="55A77DA2">
            <w:pPr>
              <w:rPr>
                <w:rFonts w:hint="eastAsia"/>
              </w:rPr>
            </w:pPr>
          </w:p>
        </w:tc>
        <w:tc>
          <w:tcPr>
            <w:tcW w:w="5670" w:type="dxa"/>
            <w:tcBorders>
              <w:top w:val="nil"/>
              <w:left w:val="nil"/>
              <w:bottom w:val="single" w:color="auto" w:sz="4" w:space="0"/>
              <w:right w:val="single" w:color="auto" w:sz="4" w:space="0"/>
            </w:tcBorders>
            <w:noWrap w:val="0"/>
            <w:vAlign w:val="top"/>
          </w:tcPr>
          <w:p w14:paraId="4AF6EC29">
            <w:pPr>
              <w:numPr>
                <w:ilvl w:val="0"/>
                <w:numId w:val="4"/>
              </w:numPr>
              <w:ind w:left="360" w:hanging="360"/>
              <w:rPr>
                <w:rFonts w:hint="eastAsia"/>
                <w:sz w:val="24"/>
              </w:rPr>
            </w:pPr>
            <w:r>
              <w:rPr>
                <w:rFonts w:hint="eastAsia"/>
                <w:sz w:val="24"/>
              </w:rPr>
              <w:t>乙方每年至少组织</w:t>
            </w:r>
            <w:r>
              <w:rPr>
                <w:sz w:val="24"/>
              </w:rPr>
              <w:t>甲方</w:t>
            </w:r>
            <w:r>
              <w:rPr>
                <w:rFonts w:hint="eastAsia"/>
                <w:sz w:val="24"/>
              </w:rPr>
              <w:t>金属监督人员对国家或行业新</w:t>
            </w:r>
            <w:r>
              <w:rPr>
                <w:sz w:val="24"/>
              </w:rPr>
              <w:t>规程、规范学习应用</w:t>
            </w:r>
            <w:r>
              <w:rPr>
                <w:rFonts w:hint="eastAsia"/>
                <w:sz w:val="24"/>
              </w:rPr>
              <w:t>、</w:t>
            </w:r>
            <w:r>
              <w:rPr>
                <w:sz w:val="24"/>
              </w:rPr>
              <w:t>试验方法、技能</w:t>
            </w:r>
            <w:r>
              <w:rPr>
                <w:rFonts w:hint="eastAsia"/>
                <w:sz w:val="24"/>
              </w:rPr>
              <w:t>等</w:t>
            </w:r>
            <w:r>
              <w:rPr>
                <w:sz w:val="24"/>
              </w:rPr>
              <w:t>培训</w:t>
            </w:r>
            <w:r>
              <w:rPr>
                <w:rFonts w:hint="eastAsia"/>
                <w:sz w:val="24"/>
              </w:rPr>
              <w:t>1次。</w:t>
            </w:r>
          </w:p>
          <w:p w14:paraId="2BD60243">
            <w:pPr>
              <w:numPr>
                <w:ilvl w:val="0"/>
                <w:numId w:val="4"/>
              </w:numPr>
              <w:ind w:left="360" w:hanging="360"/>
              <w:rPr>
                <w:rFonts w:hint="eastAsia"/>
                <w:sz w:val="24"/>
              </w:rPr>
            </w:pPr>
            <w:r>
              <w:rPr>
                <w:sz w:val="24"/>
              </w:rPr>
              <w:t>培训方式：培训班、现场培训、现场技术指导、现场专题技术分析</w:t>
            </w:r>
            <w:r>
              <w:rPr>
                <w:rFonts w:hint="eastAsia"/>
                <w:sz w:val="24"/>
              </w:rPr>
              <w:t>等。</w:t>
            </w:r>
          </w:p>
          <w:p w14:paraId="472C7565">
            <w:pPr>
              <w:numPr>
                <w:ilvl w:val="0"/>
                <w:numId w:val="4"/>
              </w:numPr>
              <w:ind w:left="360" w:hanging="360"/>
              <w:rPr>
                <w:rFonts w:hint="eastAsia" w:ascii="宋体" w:hAnsi="宋体"/>
                <w:sz w:val="24"/>
              </w:rPr>
            </w:pPr>
            <w:r>
              <w:rPr>
                <w:rFonts w:hint="eastAsia" w:ascii="宋体" w:hAnsi="宋体"/>
                <w:sz w:val="24"/>
              </w:rPr>
              <w:t>乙方每年至少提供金属技术监督有关技术情报、最新行业技术标准、新工艺等信息1批次。</w:t>
            </w:r>
          </w:p>
        </w:tc>
        <w:tc>
          <w:tcPr>
            <w:tcW w:w="2416" w:type="dxa"/>
            <w:tcBorders>
              <w:top w:val="nil"/>
              <w:left w:val="nil"/>
              <w:bottom w:val="single" w:color="auto" w:sz="4" w:space="0"/>
              <w:right w:val="single" w:color="auto" w:sz="4" w:space="0"/>
            </w:tcBorders>
            <w:noWrap w:val="0"/>
            <w:vAlign w:val="top"/>
          </w:tcPr>
          <w:p w14:paraId="6F609461">
            <w:pPr>
              <w:rPr>
                <w:rFonts w:hint="eastAsia"/>
                <w:sz w:val="24"/>
              </w:rPr>
            </w:pPr>
          </w:p>
        </w:tc>
      </w:tr>
      <w:tr w14:paraId="78EDC0F2">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21B317D">
            <w:pPr>
              <w:jc w:val="center"/>
              <w:rPr>
                <w:sz w:val="24"/>
              </w:rPr>
            </w:pPr>
            <w:r>
              <w:rPr>
                <w:rFonts w:hint="eastAsia"/>
                <w:sz w:val="24"/>
              </w:rPr>
              <w:t>5</w:t>
            </w:r>
          </w:p>
        </w:tc>
        <w:tc>
          <w:tcPr>
            <w:tcW w:w="5364" w:type="dxa"/>
            <w:tcBorders>
              <w:top w:val="nil"/>
              <w:left w:val="nil"/>
              <w:bottom w:val="single" w:color="auto" w:sz="4" w:space="0"/>
              <w:right w:val="single" w:color="auto" w:sz="4" w:space="0"/>
            </w:tcBorders>
            <w:noWrap w:val="0"/>
            <w:vAlign w:val="center"/>
          </w:tcPr>
          <w:p w14:paraId="2F9F2C54">
            <w:pPr>
              <w:rPr>
                <w:rFonts w:hint="eastAsia"/>
                <w:sz w:val="24"/>
              </w:rPr>
            </w:pPr>
            <w:r>
              <w:rPr>
                <w:rFonts w:hint="eastAsia"/>
                <w:sz w:val="24"/>
              </w:rPr>
              <w:t>新技术：</w:t>
            </w:r>
          </w:p>
          <w:p w14:paraId="7782EDF2">
            <w:pPr>
              <w:rPr>
                <w:sz w:val="24"/>
              </w:rPr>
            </w:pPr>
            <w:r>
              <w:rPr>
                <w:rFonts w:hint="eastAsia"/>
                <w:sz w:val="24"/>
              </w:rPr>
              <w:t>协助甲方进行新技术开发和推广工作，及时提供有关金属监督方面的技术资料、上级文件等。</w:t>
            </w:r>
          </w:p>
        </w:tc>
        <w:tc>
          <w:tcPr>
            <w:tcW w:w="5670" w:type="dxa"/>
            <w:tcBorders>
              <w:top w:val="nil"/>
              <w:left w:val="nil"/>
              <w:bottom w:val="single" w:color="auto" w:sz="4" w:space="0"/>
              <w:right w:val="single" w:color="auto" w:sz="4" w:space="0"/>
            </w:tcBorders>
            <w:noWrap w:val="0"/>
            <w:vAlign w:val="center"/>
          </w:tcPr>
          <w:p w14:paraId="0586938E">
            <w:pPr>
              <w:rPr>
                <w:rFonts w:hint="eastAsia"/>
                <w:sz w:val="24"/>
              </w:rPr>
            </w:pPr>
            <w:r>
              <w:rPr>
                <w:rFonts w:hint="eastAsia"/>
                <w:sz w:val="24"/>
              </w:rPr>
              <w:t>1、按有关规程要求，提供技术咨询</w:t>
            </w:r>
          </w:p>
        </w:tc>
        <w:tc>
          <w:tcPr>
            <w:tcW w:w="2416" w:type="dxa"/>
            <w:tcBorders>
              <w:top w:val="nil"/>
              <w:left w:val="nil"/>
              <w:bottom w:val="single" w:color="auto" w:sz="4" w:space="0"/>
              <w:right w:val="single" w:color="auto" w:sz="4" w:space="0"/>
            </w:tcBorders>
            <w:noWrap w:val="0"/>
            <w:vAlign w:val="center"/>
          </w:tcPr>
          <w:p w14:paraId="0A0D7F6B">
            <w:pPr>
              <w:rPr>
                <w:rFonts w:hint="eastAsia"/>
                <w:sz w:val="24"/>
              </w:rPr>
            </w:pPr>
            <w:r>
              <w:rPr>
                <w:rFonts w:hint="eastAsia"/>
                <w:sz w:val="24"/>
              </w:rPr>
              <w:t>全年</w:t>
            </w:r>
          </w:p>
        </w:tc>
      </w:tr>
      <w:tr w14:paraId="28F5D8AE">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C9A8FE8">
            <w:pPr>
              <w:jc w:val="center"/>
              <w:rPr>
                <w:sz w:val="24"/>
              </w:rPr>
            </w:pPr>
            <w:r>
              <w:rPr>
                <w:rFonts w:hint="eastAsia"/>
                <w:sz w:val="24"/>
              </w:rPr>
              <w:t>6</w:t>
            </w:r>
          </w:p>
        </w:tc>
        <w:tc>
          <w:tcPr>
            <w:tcW w:w="5364" w:type="dxa"/>
            <w:tcBorders>
              <w:top w:val="nil"/>
              <w:left w:val="nil"/>
              <w:bottom w:val="single" w:color="auto" w:sz="4" w:space="0"/>
              <w:right w:val="single" w:color="auto" w:sz="4" w:space="0"/>
            </w:tcBorders>
            <w:noWrap w:val="0"/>
            <w:vAlign w:val="center"/>
          </w:tcPr>
          <w:p w14:paraId="7925CF9A">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670" w:type="dxa"/>
            <w:tcBorders>
              <w:top w:val="nil"/>
              <w:left w:val="nil"/>
              <w:bottom w:val="single" w:color="auto" w:sz="4" w:space="0"/>
              <w:right w:val="single" w:color="auto" w:sz="4" w:space="0"/>
            </w:tcBorders>
            <w:noWrap w:val="0"/>
            <w:vAlign w:val="center"/>
          </w:tcPr>
          <w:p w14:paraId="2639E16F">
            <w:pPr>
              <w:numPr>
                <w:ilvl w:val="0"/>
                <w:numId w:val="5"/>
              </w:numPr>
              <w:ind w:left="360" w:hanging="360"/>
              <w:rPr>
                <w:rFonts w:hint="eastAsia"/>
                <w:sz w:val="24"/>
              </w:rPr>
            </w:pPr>
            <w:r>
              <w:rPr>
                <w:rFonts w:hAnsi="宋体"/>
                <w:sz w:val="24"/>
              </w:rPr>
              <w:t>现场检查运行日志、试验报告、缺陷处理、金属监控规程执行情况</w:t>
            </w:r>
            <w:r>
              <w:rPr>
                <w:rFonts w:hint="eastAsia" w:hAnsi="宋体"/>
                <w:sz w:val="24"/>
              </w:rPr>
              <w:t>。</w:t>
            </w:r>
          </w:p>
          <w:p w14:paraId="596A1440">
            <w:pPr>
              <w:numPr>
                <w:ilvl w:val="0"/>
                <w:numId w:val="5"/>
              </w:numPr>
              <w:ind w:left="360" w:hanging="360"/>
              <w:rPr>
                <w:rFonts w:hint="eastAsia"/>
                <w:sz w:val="24"/>
              </w:rPr>
            </w:pPr>
            <w:r>
              <w:rPr>
                <w:rFonts w:hint="eastAsia" w:ascii="宋体" w:hAnsi="宋体"/>
                <w:sz w:val="24"/>
              </w:rPr>
              <w:t>检查工作完成后及时与甲方金属技术监督管理人员进行沟通汇报，并在15个工作日内提交</w:t>
            </w:r>
            <w:r>
              <w:rPr>
                <w:rFonts w:ascii="宋体" w:hAnsi="宋体"/>
                <w:sz w:val="24"/>
              </w:rPr>
              <w:t>检查评价报告</w:t>
            </w:r>
            <w:r>
              <w:rPr>
                <w:rFonts w:hint="eastAsia" w:ascii="宋体" w:hAnsi="宋体"/>
                <w:sz w:val="24"/>
              </w:rPr>
              <w:t>。</w:t>
            </w:r>
          </w:p>
        </w:tc>
        <w:tc>
          <w:tcPr>
            <w:tcW w:w="2416" w:type="dxa"/>
            <w:tcBorders>
              <w:top w:val="nil"/>
              <w:left w:val="nil"/>
              <w:bottom w:val="single" w:color="auto" w:sz="4" w:space="0"/>
              <w:right w:val="single" w:color="auto" w:sz="4" w:space="0"/>
            </w:tcBorders>
            <w:noWrap w:val="0"/>
            <w:vAlign w:val="top"/>
          </w:tcPr>
          <w:p w14:paraId="2AF2A722">
            <w:pPr>
              <w:rPr>
                <w:rFonts w:hint="eastAsia"/>
                <w:sz w:val="24"/>
              </w:rPr>
            </w:pPr>
            <w:r>
              <w:rPr>
                <w:sz w:val="24"/>
              </w:rPr>
              <w:t>现场检查不少于3天</w:t>
            </w:r>
            <w:r>
              <w:rPr>
                <w:rFonts w:hint="eastAsia"/>
                <w:sz w:val="24"/>
              </w:rPr>
              <w:t>。</w:t>
            </w:r>
          </w:p>
        </w:tc>
      </w:tr>
      <w:tr w14:paraId="1D98B351">
        <w:tblPrEx>
          <w:tblCellMar>
            <w:top w:w="0" w:type="dxa"/>
            <w:left w:w="0" w:type="dxa"/>
            <w:bottom w:w="0" w:type="dxa"/>
            <w:right w:w="0" w:type="dxa"/>
          </w:tblCellMar>
        </w:tblPrEx>
        <w:trPr>
          <w:trHeight w:val="824"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561173DA">
            <w:pPr>
              <w:jc w:val="center"/>
              <w:rPr>
                <w:sz w:val="24"/>
              </w:rPr>
            </w:pPr>
            <w:r>
              <w:rPr>
                <w:rFonts w:hint="eastAsia"/>
                <w:sz w:val="24"/>
              </w:rPr>
              <w:t>7</w:t>
            </w:r>
          </w:p>
        </w:tc>
        <w:tc>
          <w:tcPr>
            <w:tcW w:w="5364" w:type="dxa"/>
            <w:tcBorders>
              <w:top w:val="single" w:color="auto" w:sz="4" w:space="0"/>
              <w:left w:val="nil"/>
              <w:bottom w:val="single" w:color="auto" w:sz="4" w:space="0"/>
              <w:right w:val="single" w:color="auto" w:sz="4" w:space="0"/>
            </w:tcBorders>
            <w:noWrap w:val="0"/>
            <w:vAlign w:val="center"/>
          </w:tcPr>
          <w:p w14:paraId="2407ABB2">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w:t>
            </w:r>
          </w:p>
          <w:p w14:paraId="6E6E9EFA">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7.1</w:t>
            </w:r>
            <w:r>
              <w:rPr>
                <w:rFonts w:ascii="Times New Roman" w:hAnsi="Times New Roman" w:eastAsia="宋体" w:cs="Times New Roman"/>
                <w:kern w:val="2"/>
                <w:sz w:val="24"/>
                <w:szCs w:val="24"/>
                <w:lang w:val="en-US" w:eastAsia="zh-CN" w:bidi="ar-SA"/>
              </w:rPr>
              <w:t>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p w14:paraId="48F6F8E0">
            <w:pPr>
              <w:spacing w:line="0" w:lineRule="atLeast"/>
              <w:rPr>
                <w:rFonts w:hint="eastAsia"/>
                <w:sz w:val="24"/>
              </w:rPr>
            </w:pPr>
            <w:r>
              <w:rPr>
                <w:rFonts w:hint="eastAsia"/>
                <w:sz w:val="24"/>
              </w:rPr>
              <w:t>7.2 参加甲方金属专业重大问题分析，协助甲方提出反事故措施；</w:t>
            </w:r>
          </w:p>
          <w:p w14:paraId="21C39D6D">
            <w:pPr>
              <w:rPr>
                <w:rFonts w:hint="eastAsia"/>
              </w:rPr>
            </w:pPr>
            <w:r>
              <w:rPr>
                <w:rFonts w:hint="eastAsia"/>
                <w:sz w:val="24"/>
              </w:rPr>
              <w:t>7.3 协助甲方对机组运行时发生的泄漏、四管爆管、部件断裂等进行调查分析，提出分析报告。</w:t>
            </w:r>
          </w:p>
        </w:tc>
        <w:tc>
          <w:tcPr>
            <w:tcW w:w="5670" w:type="dxa"/>
            <w:tcBorders>
              <w:top w:val="single" w:color="auto" w:sz="4" w:space="0"/>
              <w:left w:val="nil"/>
              <w:bottom w:val="single" w:color="auto" w:sz="4" w:space="0"/>
              <w:right w:val="single" w:color="auto" w:sz="4" w:space="0"/>
            </w:tcBorders>
            <w:noWrap w:val="0"/>
            <w:vAlign w:val="center"/>
          </w:tcPr>
          <w:p w14:paraId="716087DF">
            <w:pPr>
              <w:numPr>
                <w:ilvl w:val="0"/>
                <w:numId w:val="6"/>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419465B9">
            <w:pPr>
              <w:numPr>
                <w:ilvl w:val="0"/>
                <w:numId w:val="6"/>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ascii="宋体" w:hAnsi="宋体"/>
                <w:spacing w:val="10"/>
                <w:sz w:val="24"/>
              </w:rPr>
              <w:t>应</w:t>
            </w:r>
            <w:r>
              <w:rPr>
                <w:rFonts w:hint="eastAsia" w:hAnsi="宋体"/>
                <w:spacing w:val="10"/>
                <w:sz w:val="24"/>
              </w:rPr>
              <w:t>在第</w:t>
            </w:r>
            <w:r>
              <w:rPr>
                <w:spacing w:val="10"/>
                <w:sz w:val="24"/>
              </w:rPr>
              <w:t>3.</w:t>
            </w:r>
            <w:r>
              <w:rPr>
                <w:rFonts w:hint="eastAsia"/>
                <w:spacing w:val="10"/>
                <w:sz w:val="24"/>
              </w:rPr>
              <w:t>4条款规定的时间</w:t>
            </w:r>
            <w:r>
              <w:rPr>
                <w:rFonts w:ascii="宋体" w:hAnsi="宋体"/>
                <w:spacing w:val="10"/>
                <w:sz w:val="24"/>
              </w:rPr>
              <w:t>内赶到现场服务</w:t>
            </w:r>
            <w:r>
              <w:rPr>
                <w:rFonts w:hint="eastAsia" w:ascii="宋体" w:hAnsi="宋体"/>
                <w:spacing w:val="10"/>
                <w:sz w:val="24"/>
              </w:rPr>
              <w:t>。</w:t>
            </w:r>
          </w:p>
        </w:tc>
        <w:tc>
          <w:tcPr>
            <w:tcW w:w="2416" w:type="dxa"/>
            <w:tcBorders>
              <w:top w:val="single" w:color="auto" w:sz="4" w:space="0"/>
              <w:left w:val="nil"/>
              <w:bottom w:val="single" w:color="auto" w:sz="4" w:space="0"/>
              <w:right w:val="single" w:color="auto" w:sz="4" w:space="0"/>
            </w:tcBorders>
            <w:noWrap w:val="0"/>
            <w:vAlign w:val="top"/>
          </w:tcPr>
          <w:p w14:paraId="59D152F1">
            <w:pPr>
              <w:rPr>
                <w:rFonts w:hint="eastAsia"/>
                <w:sz w:val="24"/>
              </w:rPr>
            </w:pPr>
          </w:p>
        </w:tc>
      </w:tr>
    </w:tbl>
    <w:p w14:paraId="0B790C06">
      <w:pPr>
        <w:jc w:val="left"/>
      </w:pPr>
    </w:p>
    <w:p w14:paraId="7865C39D">
      <w:pPr>
        <w:jc w:val="left"/>
      </w:pPr>
    </w:p>
    <w:p w14:paraId="30C526CA">
      <w:pPr>
        <w:jc w:val="left"/>
        <w:rPr>
          <w:b/>
          <w:sz w:val="24"/>
        </w:rPr>
      </w:pPr>
      <w:r>
        <w:rPr>
          <w:rFonts w:hint="eastAsia"/>
          <w:b/>
          <w:sz w:val="24"/>
        </w:rPr>
        <w:t>二、</w:t>
      </w:r>
      <w:r>
        <w:rPr>
          <w:b/>
          <w:sz w:val="24"/>
        </w:rPr>
        <w:t>专业：化学（含油务）</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6BB2B804">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6A45C185">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4B191418">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2F241567">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5B119399">
            <w:pPr>
              <w:jc w:val="center"/>
              <w:rPr>
                <w:rFonts w:eastAsia="黑体"/>
                <w:sz w:val="24"/>
              </w:rPr>
            </w:pPr>
            <w:r>
              <w:rPr>
                <w:rFonts w:eastAsia="黑体"/>
                <w:sz w:val="24"/>
              </w:rPr>
              <w:t>备注</w:t>
            </w:r>
          </w:p>
        </w:tc>
      </w:tr>
      <w:tr w14:paraId="7AF737F8">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397D4AB9">
            <w:pPr>
              <w:jc w:val="center"/>
              <w:rPr>
                <w:sz w:val="24"/>
              </w:rPr>
            </w:pPr>
            <w:r>
              <w:rPr>
                <w:rFonts w:hint="eastAsia"/>
                <w:sz w:val="24"/>
              </w:rPr>
              <w:t>1</w:t>
            </w:r>
          </w:p>
        </w:tc>
        <w:tc>
          <w:tcPr>
            <w:tcW w:w="5364" w:type="dxa"/>
            <w:tcBorders>
              <w:top w:val="nil"/>
              <w:left w:val="nil"/>
              <w:bottom w:val="single" w:color="auto" w:sz="4" w:space="0"/>
              <w:right w:val="single" w:color="auto" w:sz="4" w:space="0"/>
            </w:tcBorders>
            <w:noWrap w:val="0"/>
            <w:vAlign w:val="center"/>
          </w:tcPr>
          <w:p w14:paraId="5093EE74">
            <w:pPr>
              <w:rPr>
                <w:b/>
                <w:sz w:val="24"/>
              </w:rPr>
            </w:pPr>
            <w:r>
              <w:rPr>
                <w:b/>
                <w:sz w:val="24"/>
              </w:rPr>
              <w:t>年度监督会议</w:t>
            </w:r>
          </w:p>
        </w:tc>
        <w:tc>
          <w:tcPr>
            <w:tcW w:w="5386" w:type="dxa"/>
            <w:tcBorders>
              <w:top w:val="nil"/>
              <w:left w:val="nil"/>
              <w:bottom w:val="single" w:color="auto" w:sz="4" w:space="0"/>
              <w:right w:val="single" w:color="auto" w:sz="4" w:space="0"/>
            </w:tcBorders>
            <w:noWrap w:val="0"/>
            <w:vAlign w:val="top"/>
          </w:tcPr>
          <w:p w14:paraId="66B49B12">
            <w:pPr>
              <w:numPr>
                <w:ilvl w:val="0"/>
                <w:numId w:val="7"/>
              </w:numPr>
              <w:ind w:left="360" w:hanging="360"/>
              <w:rPr>
                <w:rFonts w:hAnsi="宋体"/>
                <w:sz w:val="24"/>
              </w:rPr>
            </w:pPr>
            <w:r>
              <w:rPr>
                <w:rFonts w:hint="eastAsia" w:hAnsi="宋体"/>
                <w:sz w:val="24"/>
              </w:rPr>
              <w:t>组织召开年度化学系监督工作会议，总结、交流和推广化学监督的工作经验和先进技术。</w:t>
            </w:r>
          </w:p>
        </w:tc>
        <w:tc>
          <w:tcPr>
            <w:tcW w:w="2700" w:type="dxa"/>
            <w:tcBorders>
              <w:top w:val="nil"/>
              <w:left w:val="nil"/>
              <w:bottom w:val="single" w:color="auto" w:sz="4" w:space="0"/>
              <w:right w:val="single" w:color="auto" w:sz="4" w:space="0"/>
            </w:tcBorders>
            <w:noWrap w:val="0"/>
            <w:vAlign w:val="top"/>
          </w:tcPr>
          <w:p w14:paraId="1A481BA3">
            <w:pPr>
              <w:rPr>
                <w:rFonts w:hint="eastAsia"/>
                <w:sz w:val="24"/>
              </w:rPr>
            </w:pPr>
            <w:r>
              <w:rPr>
                <w:rFonts w:hint="eastAsia" w:hAnsi="宋体"/>
                <w:sz w:val="24"/>
              </w:rPr>
              <w:t>每年一次，工作会议根据情况统一安排</w:t>
            </w:r>
          </w:p>
        </w:tc>
      </w:tr>
      <w:tr w14:paraId="5D88B335">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25B21969">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34B70BEC">
            <w:pPr>
              <w:rPr>
                <w:sz w:val="24"/>
              </w:rPr>
            </w:pPr>
            <w:r>
              <w:rPr>
                <w:b/>
                <w:sz w:val="24"/>
              </w:rPr>
              <w:t>归口管理（火电）：</w:t>
            </w:r>
            <w:r>
              <w:rPr>
                <w:sz w:val="24"/>
              </w:rPr>
              <w:t>甲方机组的</w:t>
            </w:r>
            <w:r>
              <w:rPr>
                <w:rFonts w:hAnsi="宋体"/>
                <w:sz w:val="24"/>
              </w:rPr>
              <w:t>水、汽、垢、腐蚀产物、燃料、电力用油（汽轮机油、润滑油、变压器油、抗燃油）、气（</w:t>
            </w:r>
            <w:r>
              <w:rPr>
                <w:sz w:val="24"/>
              </w:rPr>
              <w:t>SF6</w:t>
            </w:r>
            <w:r>
              <w:rPr>
                <w:rFonts w:hAnsi="宋体"/>
                <w:sz w:val="24"/>
              </w:rPr>
              <w:t>气体）、</w:t>
            </w:r>
            <w:r>
              <w:rPr>
                <w:rFonts w:hint="eastAsia" w:ascii="宋体" w:hAnsi="宋体"/>
                <w:sz w:val="24"/>
                <w:lang w:val="en-US" w:eastAsia="zh-CN"/>
              </w:rPr>
              <w:t>氨水</w:t>
            </w:r>
            <w:r>
              <w:rPr>
                <w:rFonts w:hint="eastAsia" w:ascii="宋体" w:hAnsi="宋体"/>
                <w:sz w:val="24"/>
              </w:rPr>
              <w:t>、活性炭、生石灰、熟石灰进行协助分析并进行技术监督</w:t>
            </w:r>
            <w:r>
              <w:rPr>
                <w:rFonts w:hAnsi="宋体"/>
                <w:sz w:val="24"/>
              </w:rPr>
              <w:t>，热力设备的腐蚀与防护、热力设备的停用保护、锅炉结垢、汽轮机积盐、在线化学仪表等进行技术监控</w:t>
            </w:r>
            <w:r>
              <w:rPr>
                <w:rFonts w:hint="eastAsia" w:hAnsi="宋体"/>
                <w:sz w:val="24"/>
              </w:rPr>
              <w:t>并帮助完成热化学试验</w:t>
            </w:r>
            <w:r>
              <w:rPr>
                <w:sz w:val="24"/>
              </w:rPr>
              <w:t>。</w:t>
            </w:r>
          </w:p>
        </w:tc>
        <w:tc>
          <w:tcPr>
            <w:tcW w:w="5386" w:type="dxa"/>
            <w:tcBorders>
              <w:top w:val="nil"/>
              <w:left w:val="nil"/>
              <w:bottom w:val="single" w:color="auto" w:sz="4" w:space="0"/>
              <w:right w:val="single" w:color="auto" w:sz="4" w:space="0"/>
            </w:tcBorders>
            <w:noWrap w:val="0"/>
            <w:vAlign w:val="top"/>
          </w:tcPr>
          <w:p w14:paraId="1971DD18">
            <w:pPr>
              <w:numPr>
                <w:ilvl w:val="0"/>
                <w:numId w:val="7"/>
              </w:numPr>
              <w:ind w:left="360" w:hanging="360"/>
              <w:rPr>
                <w:rFonts w:hint="eastAsia"/>
                <w:sz w:val="24"/>
              </w:rPr>
            </w:pPr>
            <w:r>
              <w:rPr>
                <w:rFonts w:hAnsi="宋体"/>
                <w:sz w:val="24"/>
              </w:rPr>
              <w:t>按</w:t>
            </w:r>
            <w:r>
              <w:rPr>
                <w:rFonts w:hint="eastAsia"/>
                <w:sz w:val="24"/>
              </w:rPr>
              <w:t>《广西电力技术专业监控考核办法》</w:t>
            </w:r>
            <w:r>
              <w:rPr>
                <w:sz w:val="24"/>
              </w:rPr>
              <w:t>及</w:t>
            </w:r>
            <w:r>
              <w:rPr>
                <w:rFonts w:hAnsi="宋体"/>
                <w:sz w:val="24"/>
              </w:rPr>
              <w:t>电力行业化学 监控规程进行</w:t>
            </w:r>
            <w:r>
              <w:rPr>
                <w:sz w:val="24"/>
              </w:rPr>
              <w:t>技术监控管理</w:t>
            </w:r>
            <w:r>
              <w:rPr>
                <w:rFonts w:hint="eastAsia"/>
                <w:sz w:val="24"/>
              </w:rPr>
              <w:t>，并</w:t>
            </w:r>
            <w:r>
              <w:rPr>
                <w:sz w:val="24"/>
              </w:rPr>
              <w:t>进行技术监控管理。</w:t>
            </w:r>
            <w:r>
              <w:rPr>
                <w:rFonts w:hint="eastAsia" w:ascii="Times New Roman" w:eastAsia="宋体"/>
                <w:sz w:val="24"/>
                <w:lang w:val="en-US" w:eastAsia="zh-CN"/>
              </w:rPr>
              <w:t xml:space="preserve">  </w:t>
            </w:r>
          </w:p>
          <w:p w14:paraId="03D057EC">
            <w:pPr>
              <w:numPr>
                <w:ilvl w:val="0"/>
                <w:numId w:val="7"/>
              </w:numPr>
              <w:ind w:left="360" w:hanging="360"/>
              <w:rPr>
                <w:rFonts w:hint="eastAsia"/>
                <w:sz w:val="24"/>
              </w:rPr>
            </w:pPr>
            <w:r>
              <w:rPr>
                <w:rFonts w:hint="eastAsia"/>
                <w:sz w:val="24"/>
              </w:rPr>
              <w:t>检查、指导、监督甲方开展化学技术监督管理工作。协助解决化学技术监督方面存在的问题。</w:t>
            </w:r>
          </w:p>
        </w:tc>
        <w:tc>
          <w:tcPr>
            <w:tcW w:w="2700" w:type="dxa"/>
            <w:tcBorders>
              <w:top w:val="nil"/>
              <w:left w:val="nil"/>
              <w:bottom w:val="single" w:color="auto" w:sz="4" w:space="0"/>
              <w:right w:val="single" w:color="auto" w:sz="4" w:space="0"/>
            </w:tcBorders>
            <w:noWrap w:val="0"/>
            <w:vAlign w:val="top"/>
          </w:tcPr>
          <w:p w14:paraId="448C68D3">
            <w:pPr>
              <w:rPr>
                <w:rFonts w:hint="eastAsia"/>
                <w:sz w:val="24"/>
              </w:rPr>
            </w:pPr>
          </w:p>
        </w:tc>
      </w:tr>
      <w:tr w14:paraId="7F107D5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BE152CC">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32D03D54">
            <w:pPr>
              <w:rPr>
                <w:rFonts w:hint="eastAsia"/>
                <w:sz w:val="24"/>
              </w:rPr>
            </w:pPr>
            <w:r>
              <w:rPr>
                <w:b/>
                <w:sz w:val="24"/>
              </w:rPr>
              <w:t>方案审查：</w:t>
            </w:r>
            <w:r>
              <w:rPr>
                <w:rFonts w:hint="eastAsia"/>
                <w:sz w:val="24"/>
              </w:rPr>
              <w:t>对送达的</w:t>
            </w:r>
            <w:r>
              <w:rPr>
                <w:sz w:val="24"/>
              </w:rPr>
              <w:t>大小修化学检修方案</w:t>
            </w:r>
            <w:r>
              <w:rPr>
                <w:rFonts w:hint="eastAsia"/>
                <w:sz w:val="24"/>
              </w:rPr>
              <w:t>、报告进行</w:t>
            </w:r>
            <w:r>
              <w:rPr>
                <w:sz w:val="24"/>
              </w:rPr>
              <w:t>审核</w:t>
            </w:r>
            <w:r>
              <w:rPr>
                <w:rFonts w:hint="eastAsia"/>
                <w:sz w:val="24"/>
              </w:rPr>
              <w:t>，协助业主对化学主要设备进行技术改造，为改造方案的制定提供建议。</w:t>
            </w:r>
          </w:p>
        </w:tc>
        <w:tc>
          <w:tcPr>
            <w:tcW w:w="5386" w:type="dxa"/>
            <w:tcBorders>
              <w:top w:val="nil"/>
              <w:left w:val="nil"/>
              <w:bottom w:val="single" w:color="auto" w:sz="4" w:space="0"/>
              <w:right w:val="single" w:color="auto" w:sz="4" w:space="0"/>
            </w:tcBorders>
            <w:noWrap w:val="0"/>
            <w:vAlign w:val="center"/>
          </w:tcPr>
          <w:p w14:paraId="4D96FE6C">
            <w:pPr>
              <w:numPr>
                <w:ilvl w:val="0"/>
                <w:numId w:val="8"/>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03589130">
            <w:pPr>
              <w:numPr>
                <w:ilvl w:val="0"/>
                <w:numId w:val="8"/>
              </w:numPr>
              <w:ind w:left="360" w:hanging="360"/>
              <w:rPr>
                <w:rFonts w:hint="eastAsia"/>
                <w:sz w:val="24"/>
              </w:rPr>
            </w:pPr>
            <w:r>
              <w:rPr>
                <w:sz w:val="24"/>
              </w:rPr>
              <w:t>大小修</w:t>
            </w:r>
            <w:r>
              <w:rPr>
                <w:rFonts w:hint="eastAsia"/>
                <w:sz w:val="24"/>
              </w:rPr>
              <w:t>期间应派员对化学技术监督进行技术指导，发现问题时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660B49F1">
            <w:pPr>
              <w:rPr>
                <w:rFonts w:hint="eastAsia"/>
                <w:sz w:val="24"/>
              </w:rPr>
            </w:pPr>
          </w:p>
        </w:tc>
      </w:tr>
      <w:tr w14:paraId="45D1956F">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4D72BB4">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5DB401DF">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p>
          <w:p w14:paraId="13727ED2">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1.对</w:t>
            </w:r>
            <w:r>
              <w:rPr>
                <w:rFonts w:ascii="Times New Roman" w:hAnsi="Times New Roman" w:eastAsia="宋体" w:cs="Times New Roman"/>
                <w:kern w:val="2"/>
                <w:sz w:val="24"/>
                <w:szCs w:val="24"/>
                <w:lang w:val="en-US" w:eastAsia="zh-CN" w:bidi="ar-SA"/>
              </w:rPr>
              <w:t>化学专业人员（气、油</w:t>
            </w:r>
            <w:r>
              <w:rPr>
                <w:rFonts w:hint="eastAsia" w:ascii="Times New Roman" w:hAnsi="Times New Roman" w:eastAsia="宋体" w:cs="Times New Roman"/>
                <w:kern w:val="2"/>
                <w:sz w:val="24"/>
                <w:szCs w:val="24"/>
                <w:lang w:val="en-US" w:eastAsia="zh-CN" w:bidi="ar-SA"/>
              </w:rPr>
              <w:t>、水</w:t>
            </w:r>
            <w:r>
              <w:rPr>
                <w:rFonts w:ascii="Times New Roman" w:hAnsi="Times New Roman" w:eastAsia="宋体" w:cs="Times New Roman"/>
                <w:kern w:val="2"/>
                <w:sz w:val="24"/>
                <w:szCs w:val="24"/>
                <w:lang w:val="en-US" w:eastAsia="zh-CN" w:bidi="ar-SA"/>
              </w:rPr>
              <w:t>）进行持证</w:t>
            </w:r>
            <w:r>
              <w:rPr>
                <w:rFonts w:hint="eastAsia" w:ascii="Times New Roman" w:hAnsi="Times New Roman" w:eastAsia="宋体" w:cs="Times New Roman"/>
                <w:kern w:val="2"/>
                <w:sz w:val="24"/>
                <w:szCs w:val="24"/>
                <w:lang w:val="en-US" w:eastAsia="zh-CN" w:bidi="ar-SA"/>
              </w:rPr>
              <w:t>及交流、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p w14:paraId="1F568277">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2.组织甲方环保专业人员参加广西电力系统技术监督化学专业技术交流会或技术培训班。</w:t>
            </w:r>
          </w:p>
          <w:p w14:paraId="3D886376">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3.组织环保专业人员到电厂进行技术交流。</w:t>
            </w:r>
          </w:p>
        </w:tc>
        <w:tc>
          <w:tcPr>
            <w:tcW w:w="5386" w:type="dxa"/>
            <w:tcBorders>
              <w:top w:val="nil"/>
              <w:left w:val="nil"/>
              <w:bottom w:val="single" w:color="auto" w:sz="4" w:space="0"/>
              <w:right w:val="single" w:color="auto" w:sz="4" w:space="0"/>
            </w:tcBorders>
            <w:noWrap w:val="0"/>
            <w:vAlign w:val="top"/>
          </w:tcPr>
          <w:p w14:paraId="33B5B193">
            <w:pPr>
              <w:numPr>
                <w:ilvl w:val="0"/>
                <w:numId w:val="9"/>
              </w:numPr>
              <w:ind w:left="360" w:hanging="360"/>
              <w:rPr>
                <w:rFonts w:hint="eastAsia"/>
                <w:sz w:val="24"/>
              </w:rPr>
            </w:pPr>
            <w:r>
              <w:rPr>
                <w:rFonts w:hint="eastAsia"/>
                <w:sz w:val="24"/>
              </w:rPr>
              <w:t>每年至少组织</w:t>
            </w:r>
            <w:r>
              <w:rPr>
                <w:sz w:val="24"/>
              </w:rPr>
              <w:t>甲方</w:t>
            </w:r>
            <w:r>
              <w:rPr>
                <w:rFonts w:hint="eastAsia"/>
                <w:sz w:val="24"/>
              </w:rPr>
              <w:t>化学监督人员对国家或行业新</w:t>
            </w:r>
            <w:r>
              <w:rPr>
                <w:sz w:val="24"/>
              </w:rPr>
              <w:t>规程、规范学习应用</w:t>
            </w:r>
            <w:r>
              <w:rPr>
                <w:rFonts w:hint="eastAsia"/>
                <w:sz w:val="24"/>
              </w:rPr>
              <w:t>、</w:t>
            </w:r>
            <w:r>
              <w:rPr>
                <w:sz w:val="24"/>
              </w:rPr>
              <w:t>试验方法、技能培训</w:t>
            </w:r>
            <w:r>
              <w:rPr>
                <w:rFonts w:hint="eastAsia"/>
                <w:sz w:val="24"/>
              </w:rPr>
              <w:t>一次。</w:t>
            </w:r>
          </w:p>
          <w:p w14:paraId="1D81151E">
            <w:pPr>
              <w:numPr>
                <w:ilvl w:val="0"/>
                <w:numId w:val="9"/>
              </w:numPr>
              <w:ind w:left="360" w:hanging="360"/>
              <w:rPr>
                <w:rFonts w:hint="eastAsia"/>
                <w:sz w:val="24"/>
              </w:rPr>
            </w:pPr>
            <w:r>
              <w:rPr>
                <w:rFonts w:hint="eastAsia"/>
                <w:sz w:val="24"/>
              </w:rPr>
              <w:t>按相关规定对</w:t>
            </w:r>
            <w:r>
              <w:rPr>
                <w:sz w:val="24"/>
              </w:rPr>
              <w:t>化学专业人员（气、油</w:t>
            </w:r>
            <w:r>
              <w:rPr>
                <w:rFonts w:hint="eastAsia"/>
                <w:sz w:val="24"/>
              </w:rPr>
              <w:t>、水</w:t>
            </w:r>
            <w:r>
              <w:rPr>
                <w:sz w:val="24"/>
              </w:rPr>
              <w:t>）</w:t>
            </w:r>
            <w:r>
              <w:rPr>
                <w:rFonts w:hint="eastAsia"/>
                <w:sz w:val="24"/>
              </w:rPr>
              <w:t>进行培训、取证考核。</w:t>
            </w:r>
          </w:p>
          <w:p w14:paraId="32B785DD">
            <w:pPr>
              <w:numPr>
                <w:ilvl w:val="0"/>
                <w:numId w:val="9"/>
              </w:numPr>
              <w:ind w:left="360" w:hanging="360"/>
              <w:rPr>
                <w:rFonts w:hint="eastAsia"/>
                <w:sz w:val="24"/>
              </w:rPr>
            </w:pPr>
            <w:r>
              <w:rPr>
                <w:sz w:val="24"/>
              </w:rPr>
              <w:t>培训方式：培训班、现场培训、现场技术指导、现场专题技术分析</w:t>
            </w:r>
            <w:r>
              <w:rPr>
                <w:rFonts w:hint="eastAsia"/>
                <w:sz w:val="24"/>
              </w:rPr>
              <w:t>等。</w:t>
            </w:r>
          </w:p>
          <w:p w14:paraId="273B96A8">
            <w:pPr>
              <w:numPr>
                <w:ilvl w:val="0"/>
                <w:numId w:val="9"/>
              </w:numPr>
              <w:ind w:left="360" w:hanging="360"/>
              <w:rPr>
                <w:rFonts w:hint="eastAsia"/>
                <w:sz w:val="24"/>
              </w:rPr>
            </w:pPr>
            <w:r>
              <w:rPr>
                <w:rFonts w:hint="eastAsia" w:ascii="宋体" w:hAnsi="宋体"/>
                <w:sz w:val="24"/>
              </w:rPr>
              <w:t>每年至少提供电厂化学有关技术情报、最新行业技术标准、新工艺等信息1 批次。</w:t>
            </w:r>
          </w:p>
        </w:tc>
        <w:tc>
          <w:tcPr>
            <w:tcW w:w="2700" w:type="dxa"/>
            <w:tcBorders>
              <w:top w:val="nil"/>
              <w:left w:val="nil"/>
              <w:bottom w:val="single" w:color="auto" w:sz="4" w:space="0"/>
              <w:right w:val="single" w:color="auto" w:sz="4" w:space="0"/>
            </w:tcBorders>
            <w:noWrap w:val="0"/>
            <w:vAlign w:val="top"/>
          </w:tcPr>
          <w:p w14:paraId="60C45E42">
            <w:pPr>
              <w:rPr>
                <w:sz w:val="24"/>
              </w:rPr>
            </w:pPr>
            <w:r>
              <w:rPr>
                <w:rFonts w:hint="eastAsia"/>
                <w:sz w:val="24"/>
              </w:rPr>
              <w:t>相应费用甲方自理</w:t>
            </w:r>
          </w:p>
        </w:tc>
      </w:tr>
      <w:tr w14:paraId="78F9A073">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FEBEB18">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34AD181F">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433B2342">
            <w:pPr>
              <w:rPr>
                <w:rFonts w:hint="eastAsia" w:ascii="宋体" w:hAnsi="宋体"/>
                <w:sz w:val="24"/>
              </w:rPr>
            </w:pPr>
            <w:r>
              <w:rPr>
                <w:rFonts w:hint="eastAsia" w:ascii="宋体" w:hAnsi="宋体"/>
                <w:sz w:val="24"/>
              </w:rPr>
              <w:t>1.按国家和行业标准《化学监督制度》对甲方化学技术监督进行归口管理，对化学专业的工作进行全过程的技术监督，进行一次化学技术监督检查，对发现的异常问题提出分析和处理建议；</w:t>
            </w:r>
          </w:p>
          <w:p w14:paraId="57FEC31A">
            <w:pPr>
              <w:rPr>
                <w:rFonts w:hint="eastAsia" w:ascii="宋体" w:hAnsi="宋体"/>
                <w:sz w:val="24"/>
              </w:rPr>
            </w:pPr>
            <w:r>
              <w:rPr>
                <w:rFonts w:hint="eastAsia" w:ascii="宋体" w:hAnsi="宋体"/>
                <w:sz w:val="24"/>
              </w:rPr>
              <w:t>2.甲方按《化学监督制度》乙方根据报表数据提出水汽品质异常的分析处理建议；</w:t>
            </w:r>
          </w:p>
          <w:p w14:paraId="54F95266">
            <w:pPr>
              <w:rPr>
                <w:rFonts w:hint="eastAsia" w:ascii="宋体" w:hAnsi="宋体"/>
                <w:sz w:val="24"/>
              </w:rPr>
            </w:pPr>
            <w:r>
              <w:rPr>
                <w:rFonts w:hint="eastAsia" w:ascii="宋体" w:hAnsi="宋体"/>
                <w:sz w:val="24"/>
              </w:rPr>
              <w:t>3.每年在化学技术监督工作总结中对在线化学仪表“三率”作出评价，并根据评价和所掌握的情况提出分析改进建议；</w:t>
            </w:r>
          </w:p>
          <w:p w14:paraId="055CDA78">
            <w:pPr>
              <w:rPr>
                <w:rFonts w:hint="eastAsia"/>
                <w:sz w:val="24"/>
              </w:rPr>
            </w:pPr>
            <w:r>
              <w:rPr>
                <w:rFonts w:hint="eastAsia" w:ascii="宋体" w:hAnsi="宋体"/>
                <w:sz w:val="24"/>
              </w:rPr>
              <w:t>4.根据甲方机组情况，提出机组停备用保护技术方案建议，并进行技术指导，帮助实施，以延缓热力系统的腐蚀。</w:t>
            </w:r>
          </w:p>
        </w:tc>
        <w:tc>
          <w:tcPr>
            <w:tcW w:w="2700" w:type="dxa"/>
            <w:tcBorders>
              <w:top w:val="nil"/>
              <w:left w:val="nil"/>
              <w:bottom w:val="single" w:color="auto" w:sz="4" w:space="0"/>
              <w:right w:val="single" w:color="auto" w:sz="4" w:space="0"/>
            </w:tcBorders>
            <w:noWrap w:val="0"/>
            <w:vAlign w:val="top"/>
          </w:tcPr>
          <w:p w14:paraId="53A49225">
            <w:pPr>
              <w:rPr>
                <w:rFonts w:hint="eastAsia"/>
                <w:sz w:val="24"/>
              </w:rPr>
            </w:pPr>
            <w:r>
              <w:rPr>
                <w:sz w:val="24"/>
              </w:rPr>
              <w:t>现场检查不少于3天</w:t>
            </w:r>
            <w:r>
              <w:rPr>
                <w:rFonts w:hint="eastAsia"/>
                <w:sz w:val="24"/>
              </w:rPr>
              <w:t>。</w:t>
            </w:r>
          </w:p>
        </w:tc>
      </w:tr>
      <w:tr w14:paraId="308BDEA6">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7A55DC2D">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7DEDEE62">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 xml:space="preserve">事故分析： </w:t>
            </w:r>
          </w:p>
          <w:p w14:paraId="1D094ADB">
            <w:pPr>
              <w:widowControl w:val="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1.当变压器等充油电气设备发生故障时，对故障设备进行油气相色谱分析，提供分析判断结果和处理建议;</w:t>
            </w:r>
          </w:p>
          <w:p w14:paraId="4675C48F">
            <w:pPr>
              <w:widowControl w:val="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2.参加化学专业设备事故调查和分析，协助甲方提出反事故措施;</w:t>
            </w:r>
          </w:p>
          <w:p w14:paraId="7A7458C3">
            <w:pPr>
              <w:widowControl w:val="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3.指导甲方油质和SF6电气设备气体的监督工作，调查了解掌握油质和SF6电气设备气体质量情况，当事故时，对油质试验和SF6气体试验的结果提出分析处理意见；</w:t>
            </w:r>
          </w:p>
          <w:p w14:paraId="4B431A15">
            <w:pPr>
              <w:widowControl w:val="0"/>
              <w:jc w:val="both"/>
              <w:rPr>
                <w:rFonts w:hint="eastAsia" w:ascii="Times New Roman" w:hAnsi="Times New Roman"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4.根据调查了解掌握的技术监督情况，对化学设备存在的问题提出技术改造方案供甲方参考，并协助技术改造方案的实施。</w:t>
            </w:r>
          </w:p>
        </w:tc>
        <w:tc>
          <w:tcPr>
            <w:tcW w:w="5386" w:type="dxa"/>
            <w:tcBorders>
              <w:top w:val="single" w:color="auto" w:sz="4" w:space="0"/>
              <w:left w:val="nil"/>
              <w:bottom w:val="single" w:color="auto" w:sz="4" w:space="0"/>
              <w:right w:val="single" w:color="auto" w:sz="4" w:space="0"/>
            </w:tcBorders>
            <w:noWrap w:val="0"/>
            <w:vAlign w:val="center"/>
          </w:tcPr>
          <w:p w14:paraId="1639A3D7">
            <w:pPr>
              <w:numPr>
                <w:ilvl w:val="0"/>
                <w:numId w:val="10"/>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07E30C02">
            <w:pPr>
              <w:numPr>
                <w:ilvl w:val="0"/>
                <w:numId w:val="10"/>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5FE69E04">
            <w:pPr>
              <w:rPr>
                <w:rFonts w:hint="eastAsia"/>
                <w:sz w:val="24"/>
              </w:rPr>
            </w:pPr>
          </w:p>
        </w:tc>
      </w:tr>
      <w:tr w14:paraId="24FB90D2">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4EB86586">
            <w:pPr>
              <w:widowControl w:val="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7</w:t>
            </w:r>
          </w:p>
        </w:tc>
        <w:tc>
          <w:tcPr>
            <w:tcW w:w="5364" w:type="dxa"/>
            <w:tcBorders>
              <w:top w:val="single" w:color="auto" w:sz="4" w:space="0"/>
              <w:left w:val="nil"/>
              <w:bottom w:val="single" w:color="auto" w:sz="4" w:space="0"/>
              <w:right w:val="single" w:color="auto" w:sz="4" w:space="0"/>
            </w:tcBorders>
            <w:noWrap w:val="0"/>
            <w:vAlign w:val="top"/>
          </w:tcPr>
          <w:p w14:paraId="7A416329">
            <w:pPr>
              <w:widowControl w:val="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新技术</w:t>
            </w:r>
          </w:p>
        </w:tc>
        <w:tc>
          <w:tcPr>
            <w:tcW w:w="5386" w:type="dxa"/>
            <w:tcBorders>
              <w:top w:val="single" w:color="auto" w:sz="4" w:space="0"/>
              <w:left w:val="nil"/>
              <w:bottom w:val="single" w:color="auto" w:sz="4" w:space="0"/>
              <w:right w:val="single" w:color="auto" w:sz="4" w:space="0"/>
            </w:tcBorders>
            <w:noWrap w:val="0"/>
            <w:vAlign w:val="center"/>
          </w:tcPr>
          <w:p w14:paraId="5B3632A9">
            <w:pPr>
              <w:widowControl w:val="0"/>
              <w:jc w:val="both"/>
              <w:rPr>
                <w:rFonts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协助甲方进行新技术开发和推广工作，及时提供有关化学监督方面的技术资料、上级文件和新标准的信息。</w:t>
            </w:r>
          </w:p>
        </w:tc>
        <w:tc>
          <w:tcPr>
            <w:tcW w:w="2700" w:type="dxa"/>
            <w:tcBorders>
              <w:top w:val="single" w:color="auto" w:sz="4" w:space="0"/>
              <w:left w:val="nil"/>
              <w:bottom w:val="single" w:color="auto" w:sz="4" w:space="0"/>
              <w:right w:val="single" w:color="auto" w:sz="4" w:space="0"/>
            </w:tcBorders>
            <w:noWrap w:val="0"/>
            <w:vAlign w:val="center"/>
          </w:tcPr>
          <w:p w14:paraId="3D9D61AB">
            <w:pPr>
              <w:widowControl w:val="0"/>
              <w:jc w:val="both"/>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按有关规程要求，提供技术咨询，全年</w:t>
            </w:r>
          </w:p>
        </w:tc>
      </w:tr>
    </w:tbl>
    <w:p w14:paraId="3FD0F7B6">
      <w:pPr>
        <w:widowControl w:val="0"/>
        <w:jc w:val="both"/>
        <w:rPr>
          <w:rFonts w:hint="eastAsia" w:ascii="宋体" w:hAnsi="宋体" w:eastAsia="宋体" w:cs="Times New Roman"/>
          <w:kern w:val="2"/>
          <w:sz w:val="24"/>
          <w:szCs w:val="24"/>
          <w:lang w:val="en-US" w:eastAsia="zh-CN" w:bidi="ar-SA"/>
        </w:rPr>
      </w:pPr>
    </w:p>
    <w:p w14:paraId="13E70889">
      <w:pPr>
        <w:jc w:val="left"/>
        <w:rPr>
          <w:rFonts w:hint="eastAsia"/>
        </w:rPr>
      </w:pPr>
    </w:p>
    <w:p w14:paraId="07832C60">
      <w:pPr>
        <w:snapToGrid w:val="0"/>
        <w:spacing w:line="360" w:lineRule="auto"/>
        <w:rPr>
          <w:b/>
          <w:sz w:val="24"/>
        </w:rPr>
      </w:pPr>
      <w:r>
        <w:rPr>
          <w:rFonts w:hint="eastAsia" w:hAnsi="宋体"/>
          <w:b/>
          <w:sz w:val="24"/>
        </w:rPr>
        <w:t>三、</w:t>
      </w:r>
      <w:r>
        <w:rPr>
          <w:rFonts w:hAnsi="宋体"/>
          <w:b/>
          <w:sz w:val="24"/>
        </w:rPr>
        <w:t>专业：绝缘</w:t>
      </w:r>
    </w:p>
    <w:tbl>
      <w:tblPr>
        <w:tblStyle w:val="27"/>
        <w:tblW w:w="0" w:type="auto"/>
        <w:tblInd w:w="-15" w:type="dxa"/>
        <w:tblLayout w:type="fixed"/>
        <w:tblCellMar>
          <w:top w:w="0" w:type="dxa"/>
          <w:left w:w="0" w:type="dxa"/>
          <w:bottom w:w="0" w:type="dxa"/>
          <w:right w:w="0" w:type="dxa"/>
        </w:tblCellMar>
      </w:tblPr>
      <w:tblGrid>
        <w:gridCol w:w="605"/>
        <w:gridCol w:w="5364"/>
        <w:gridCol w:w="5670"/>
        <w:gridCol w:w="2416"/>
      </w:tblGrid>
      <w:tr w14:paraId="5FFCEE74">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3B703F8B">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50342865">
            <w:pPr>
              <w:jc w:val="center"/>
              <w:rPr>
                <w:rFonts w:eastAsia="黑体"/>
                <w:sz w:val="24"/>
              </w:rPr>
            </w:pPr>
            <w:r>
              <w:rPr>
                <w:rFonts w:eastAsia="黑体"/>
                <w:sz w:val="24"/>
              </w:rPr>
              <w:t>工作范围</w:t>
            </w:r>
          </w:p>
        </w:tc>
        <w:tc>
          <w:tcPr>
            <w:tcW w:w="5670" w:type="dxa"/>
            <w:tcBorders>
              <w:top w:val="single" w:color="auto" w:sz="4" w:space="0"/>
              <w:left w:val="nil"/>
              <w:bottom w:val="single" w:color="auto" w:sz="4" w:space="0"/>
              <w:right w:val="single" w:color="auto" w:sz="4" w:space="0"/>
            </w:tcBorders>
            <w:noWrap w:val="0"/>
            <w:vAlign w:val="center"/>
          </w:tcPr>
          <w:p w14:paraId="6063C6A1">
            <w:pPr>
              <w:jc w:val="center"/>
              <w:rPr>
                <w:rFonts w:eastAsia="黑体"/>
                <w:sz w:val="24"/>
              </w:rPr>
            </w:pPr>
            <w:r>
              <w:rPr>
                <w:rFonts w:eastAsia="黑体"/>
                <w:sz w:val="24"/>
              </w:rPr>
              <w:t>工作内容</w:t>
            </w:r>
            <w:r>
              <w:rPr>
                <w:rFonts w:hint="eastAsia" w:eastAsia="黑体"/>
                <w:sz w:val="24"/>
              </w:rPr>
              <w:t>及要求</w:t>
            </w:r>
          </w:p>
        </w:tc>
        <w:tc>
          <w:tcPr>
            <w:tcW w:w="2416" w:type="dxa"/>
            <w:tcBorders>
              <w:top w:val="single" w:color="auto" w:sz="4" w:space="0"/>
              <w:left w:val="nil"/>
              <w:bottom w:val="single" w:color="auto" w:sz="4" w:space="0"/>
              <w:right w:val="single" w:color="auto" w:sz="4" w:space="0"/>
            </w:tcBorders>
            <w:noWrap w:val="0"/>
            <w:vAlign w:val="top"/>
          </w:tcPr>
          <w:p w14:paraId="166A3FE5">
            <w:pPr>
              <w:jc w:val="center"/>
              <w:rPr>
                <w:rFonts w:eastAsia="黑体"/>
                <w:sz w:val="24"/>
              </w:rPr>
            </w:pPr>
            <w:r>
              <w:rPr>
                <w:rFonts w:eastAsia="黑体"/>
                <w:sz w:val="24"/>
              </w:rPr>
              <w:t>备注</w:t>
            </w:r>
          </w:p>
        </w:tc>
      </w:tr>
      <w:tr w14:paraId="607EA959">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1CDE1A6E">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43480B27">
            <w:pPr>
              <w:rPr>
                <w:rFonts w:hint="eastAsia"/>
                <w:sz w:val="24"/>
              </w:rPr>
            </w:pPr>
            <w:r>
              <w:rPr>
                <w:b/>
                <w:sz w:val="24"/>
              </w:rPr>
              <w:t>归口管理：</w:t>
            </w:r>
            <w:r>
              <w:rPr>
                <w:sz w:val="24"/>
              </w:rPr>
              <w:t>对机组出口电</w:t>
            </w:r>
            <w:r>
              <w:rPr>
                <w:rFonts w:hint="eastAsia"/>
                <w:sz w:val="24"/>
              </w:rPr>
              <w:t>压互感</w:t>
            </w:r>
            <w:r>
              <w:rPr>
                <w:sz w:val="24"/>
              </w:rPr>
              <w:t>器、避雷器、</w:t>
            </w:r>
            <w:r>
              <w:rPr>
                <w:rFonts w:hint="eastAsia"/>
                <w:sz w:val="24"/>
              </w:rPr>
              <w:t>主变压器、</w:t>
            </w:r>
            <w:r>
              <w:rPr>
                <w:rFonts w:hint="eastAsia" w:ascii="Times New Roman" w:eastAsia="宋体"/>
                <w:sz w:val="24"/>
                <w:lang w:val="en-US" w:eastAsia="zh-CN"/>
              </w:rPr>
              <w:t>10</w:t>
            </w:r>
            <w:r>
              <w:rPr>
                <w:sz w:val="24"/>
              </w:rPr>
              <w:t>kV</w:t>
            </w:r>
            <w:r>
              <w:rPr>
                <w:rFonts w:hint="eastAsia"/>
                <w:sz w:val="24"/>
              </w:rPr>
              <w:t>及</w:t>
            </w:r>
            <w:r>
              <w:rPr>
                <w:sz w:val="24"/>
              </w:rPr>
              <w:t>110k</w:t>
            </w:r>
            <w:r>
              <w:rPr>
                <w:rFonts w:hint="eastAsia"/>
                <w:sz w:val="24"/>
              </w:rPr>
              <w:t>V</w:t>
            </w:r>
            <w:r>
              <w:rPr>
                <w:sz w:val="24"/>
              </w:rPr>
              <w:t>线路的互感器、避雷器、</w:t>
            </w:r>
            <w:r>
              <w:rPr>
                <w:rFonts w:hint="eastAsia"/>
                <w:sz w:val="24"/>
              </w:rPr>
              <w:t>断路器、隔离开关、</w:t>
            </w:r>
            <w:r>
              <w:rPr>
                <w:sz w:val="24"/>
              </w:rPr>
              <w:t>接地装置</w:t>
            </w:r>
            <w:r>
              <w:rPr>
                <w:rFonts w:hint="eastAsia"/>
                <w:sz w:val="24"/>
              </w:rPr>
              <w:t>等</w:t>
            </w:r>
            <w:r>
              <w:rPr>
                <w:sz w:val="24"/>
              </w:rPr>
              <w:t>一次设备</w:t>
            </w:r>
            <w:r>
              <w:rPr>
                <w:rFonts w:hint="eastAsia"/>
                <w:sz w:val="24"/>
              </w:rPr>
              <w:t>；</w:t>
            </w:r>
            <w:r>
              <w:rPr>
                <w:sz w:val="24"/>
              </w:rPr>
              <w:t>发电机、</w:t>
            </w:r>
            <w:r>
              <w:rPr>
                <w:rFonts w:hint="eastAsia"/>
                <w:sz w:val="24"/>
              </w:rPr>
              <w:t>发电机中性点避雷器、</w:t>
            </w:r>
            <w:r>
              <w:rPr>
                <w:sz w:val="24"/>
              </w:rPr>
              <w:t>发电机封闭母线</w:t>
            </w:r>
            <w:r>
              <w:rPr>
                <w:rFonts w:hint="eastAsia"/>
                <w:sz w:val="24"/>
              </w:rPr>
              <w:t>；</w:t>
            </w:r>
            <w:r>
              <w:rPr>
                <w:sz w:val="24"/>
              </w:rPr>
              <w:t>10kV及以上电缆、</w:t>
            </w:r>
            <w:r>
              <w:rPr>
                <w:rFonts w:hint="eastAsia"/>
                <w:sz w:val="24"/>
              </w:rPr>
              <w:t>各厂用变压器和励磁变压器、整流变压器、</w:t>
            </w:r>
            <w:r>
              <w:rPr>
                <w:sz w:val="24"/>
              </w:rPr>
              <w:t>10kV</w:t>
            </w:r>
            <w:r>
              <w:rPr>
                <w:rFonts w:hint="eastAsia"/>
                <w:sz w:val="24"/>
              </w:rPr>
              <w:t>厂用辅机等</w:t>
            </w:r>
            <w:r>
              <w:rPr>
                <w:sz w:val="24"/>
              </w:rPr>
              <w:t>进行技术监</w:t>
            </w:r>
            <w:r>
              <w:rPr>
                <w:rFonts w:hint="eastAsia"/>
                <w:sz w:val="24"/>
              </w:rPr>
              <w:t>控管理。</w:t>
            </w:r>
          </w:p>
        </w:tc>
        <w:tc>
          <w:tcPr>
            <w:tcW w:w="5670" w:type="dxa"/>
            <w:tcBorders>
              <w:top w:val="nil"/>
              <w:left w:val="nil"/>
              <w:bottom w:val="single" w:color="auto" w:sz="4" w:space="0"/>
              <w:right w:val="single" w:color="auto" w:sz="4" w:space="0"/>
            </w:tcBorders>
            <w:noWrap w:val="0"/>
            <w:vAlign w:val="top"/>
          </w:tcPr>
          <w:p w14:paraId="1BB067B5">
            <w:pPr>
              <w:numPr>
                <w:ilvl w:val="0"/>
                <w:numId w:val="11"/>
              </w:numPr>
              <w:ind w:left="360" w:hanging="360"/>
              <w:rPr>
                <w:rFonts w:hint="eastAsia"/>
                <w:sz w:val="24"/>
              </w:rPr>
            </w:pPr>
            <w:r>
              <w:rPr>
                <w:rFonts w:hAnsi="宋体"/>
                <w:sz w:val="24"/>
              </w:rPr>
              <w:t>按</w:t>
            </w:r>
            <w:r>
              <w:rPr>
                <w:rFonts w:hint="eastAsia"/>
                <w:sz w:val="24"/>
              </w:rPr>
              <w:t>《广西电力技术专业监控考核办法》</w:t>
            </w:r>
            <w:r>
              <w:rPr>
                <w:sz w:val="24"/>
              </w:rPr>
              <w:t>及</w:t>
            </w:r>
            <w:r>
              <w:rPr>
                <w:rFonts w:hAnsi="宋体"/>
                <w:sz w:val="24"/>
              </w:rPr>
              <w:t>电力行业绝缘</w:t>
            </w:r>
            <w:r>
              <w:rPr>
                <w:rFonts w:hint="eastAsia" w:hAnsi="宋体"/>
                <w:sz w:val="24"/>
              </w:rPr>
              <w:t>监督</w:t>
            </w:r>
            <w:r>
              <w:rPr>
                <w:rFonts w:hAnsi="宋体"/>
                <w:sz w:val="24"/>
              </w:rPr>
              <w:t>规程进行</w:t>
            </w:r>
            <w:r>
              <w:rPr>
                <w:sz w:val="24"/>
              </w:rPr>
              <w:t>技术监控管理</w:t>
            </w:r>
            <w:r>
              <w:rPr>
                <w:rFonts w:hint="eastAsia"/>
                <w:sz w:val="24"/>
              </w:rPr>
              <w:t>，并</w:t>
            </w:r>
            <w:r>
              <w:rPr>
                <w:sz w:val="24"/>
              </w:rPr>
              <w:t>进行技术监</w:t>
            </w:r>
            <w:r>
              <w:rPr>
                <w:rFonts w:hint="eastAsia"/>
                <w:sz w:val="24"/>
              </w:rPr>
              <w:t>督</w:t>
            </w:r>
            <w:r>
              <w:rPr>
                <w:sz w:val="24"/>
              </w:rPr>
              <w:t>管理。</w:t>
            </w:r>
          </w:p>
          <w:p w14:paraId="7E803861">
            <w:pPr>
              <w:numPr>
                <w:ilvl w:val="0"/>
                <w:numId w:val="11"/>
              </w:numPr>
              <w:ind w:left="360" w:hanging="360"/>
              <w:rPr>
                <w:sz w:val="24"/>
              </w:rPr>
            </w:pPr>
            <w:r>
              <w:rPr>
                <w:rFonts w:hint="eastAsia"/>
                <w:sz w:val="24"/>
              </w:rPr>
              <w:t>检查、指导、监督甲方开展绝缘技术监督管理工作。协助解决绝缘技术监督方面存在的问题。</w:t>
            </w:r>
          </w:p>
        </w:tc>
        <w:tc>
          <w:tcPr>
            <w:tcW w:w="2416" w:type="dxa"/>
            <w:tcBorders>
              <w:top w:val="nil"/>
              <w:left w:val="nil"/>
              <w:bottom w:val="single" w:color="auto" w:sz="4" w:space="0"/>
              <w:right w:val="single" w:color="auto" w:sz="4" w:space="0"/>
            </w:tcBorders>
            <w:noWrap w:val="0"/>
            <w:vAlign w:val="top"/>
          </w:tcPr>
          <w:p w14:paraId="7E555DD6">
            <w:pPr>
              <w:rPr>
                <w:sz w:val="24"/>
              </w:rPr>
            </w:pPr>
          </w:p>
        </w:tc>
      </w:tr>
      <w:tr w14:paraId="30D20E4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210E46D">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503196E6">
            <w:pPr>
              <w:rPr>
                <w:rFonts w:hint="eastAsia"/>
                <w:sz w:val="24"/>
              </w:rPr>
            </w:pPr>
            <w:r>
              <w:rPr>
                <w:b/>
                <w:sz w:val="24"/>
              </w:rPr>
              <w:t>方案审查：</w:t>
            </w:r>
            <w:r>
              <w:rPr>
                <w:rFonts w:hint="eastAsia"/>
                <w:sz w:val="24"/>
              </w:rPr>
              <w:t>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r>
              <w:rPr>
                <w:rFonts w:hint="eastAsia" w:ascii="宋体" w:hAnsi="宋体"/>
              </w:rPr>
              <w:t>在高压电气设备进行技术改造时，参加技术方案的审查和设备选型，并协助甲方进行技术方案的实施及解决存在的技术问题；</w:t>
            </w:r>
          </w:p>
        </w:tc>
        <w:tc>
          <w:tcPr>
            <w:tcW w:w="5670" w:type="dxa"/>
            <w:tcBorders>
              <w:top w:val="nil"/>
              <w:left w:val="nil"/>
              <w:bottom w:val="single" w:color="auto" w:sz="4" w:space="0"/>
              <w:right w:val="single" w:color="auto" w:sz="4" w:space="0"/>
            </w:tcBorders>
            <w:noWrap w:val="0"/>
            <w:vAlign w:val="center"/>
          </w:tcPr>
          <w:p w14:paraId="600B79D1">
            <w:pPr>
              <w:numPr>
                <w:ilvl w:val="0"/>
                <w:numId w:val="12"/>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646F0800">
            <w:pPr>
              <w:numPr>
                <w:ilvl w:val="0"/>
                <w:numId w:val="12"/>
              </w:numPr>
              <w:ind w:left="360" w:hanging="360"/>
              <w:rPr>
                <w:rFonts w:hint="eastAsia"/>
                <w:sz w:val="24"/>
              </w:rPr>
            </w:pPr>
            <w:r>
              <w:rPr>
                <w:sz w:val="24"/>
              </w:rPr>
              <w:t>大小修</w:t>
            </w:r>
            <w:r>
              <w:rPr>
                <w:rFonts w:hint="eastAsia"/>
                <w:sz w:val="24"/>
              </w:rPr>
              <w:t>期间应派员对绝缘技术监督进行技术指导，发现问题时</w:t>
            </w:r>
            <w:r>
              <w:rPr>
                <w:sz w:val="24"/>
              </w:rPr>
              <w:t>提出处理建议或方案</w:t>
            </w:r>
            <w:r>
              <w:rPr>
                <w:rFonts w:hint="eastAsia"/>
                <w:sz w:val="24"/>
              </w:rPr>
              <w:t>。</w:t>
            </w:r>
          </w:p>
        </w:tc>
        <w:tc>
          <w:tcPr>
            <w:tcW w:w="2416" w:type="dxa"/>
            <w:tcBorders>
              <w:top w:val="nil"/>
              <w:left w:val="nil"/>
              <w:bottom w:val="single" w:color="auto" w:sz="4" w:space="0"/>
              <w:right w:val="single" w:color="auto" w:sz="4" w:space="0"/>
            </w:tcBorders>
            <w:noWrap w:val="0"/>
            <w:vAlign w:val="top"/>
          </w:tcPr>
          <w:p w14:paraId="2050510D">
            <w:pPr>
              <w:rPr>
                <w:sz w:val="24"/>
              </w:rPr>
            </w:pPr>
          </w:p>
        </w:tc>
      </w:tr>
      <w:tr w14:paraId="1030767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477F1B8">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2D0B51B3">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w:t>
            </w:r>
            <w:r>
              <w:rPr>
                <w:rFonts w:ascii="Times New Roman" w:hAnsi="Times New Roman" w:eastAsia="宋体" w:cs="Times New Roman"/>
                <w:kern w:val="2"/>
                <w:sz w:val="24"/>
                <w:szCs w:val="24"/>
                <w:lang w:val="en-US" w:eastAsia="zh-CN" w:bidi="ar-SA"/>
              </w:rPr>
              <w:t>绝缘专业人员进行持证</w:t>
            </w:r>
            <w:r>
              <w:rPr>
                <w:rFonts w:hint="eastAsia" w:ascii="Times New Roman" w:hAnsi="Times New Roman" w:eastAsia="宋体" w:cs="Times New Roman"/>
                <w:kern w:val="2"/>
                <w:sz w:val="24"/>
                <w:szCs w:val="24"/>
                <w:lang w:val="en-US" w:eastAsia="zh-CN" w:bidi="ar-SA"/>
              </w:rPr>
              <w:t>及交流、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670" w:type="dxa"/>
            <w:tcBorders>
              <w:top w:val="nil"/>
              <w:left w:val="nil"/>
              <w:bottom w:val="single" w:color="auto" w:sz="4" w:space="0"/>
              <w:right w:val="single" w:color="auto" w:sz="4" w:space="0"/>
            </w:tcBorders>
            <w:noWrap w:val="0"/>
            <w:vAlign w:val="top"/>
          </w:tcPr>
          <w:p w14:paraId="6A547E0A">
            <w:pPr>
              <w:numPr>
                <w:ilvl w:val="0"/>
                <w:numId w:val="13"/>
              </w:numPr>
              <w:ind w:left="360" w:hanging="360"/>
              <w:rPr>
                <w:rFonts w:hint="eastAsia"/>
                <w:sz w:val="24"/>
              </w:rPr>
            </w:pPr>
            <w:r>
              <w:rPr>
                <w:rFonts w:hint="eastAsia"/>
                <w:sz w:val="24"/>
              </w:rPr>
              <w:t>每年至少组织</w:t>
            </w:r>
            <w:r>
              <w:rPr>
                <w:sz w:val="24"/>
              </w:rPr>
              <w:t>甲方</w:t>
            </w:r>
            <w:r>
              <w:rPr>
                <w:rFonts w:hint="eastAsia"/>
                <w:sz w:val="24"/>
              </w:rPr>
              <w:t>绝缘监督人员对国家或行业新</w:t>
            </w:r>
            <w:r>
              <w:rPr>
                <w:sz w:val="24"/>
              </w:rPr>
              <w:t>规程、规范学习应用；试验方法、技能培训</w:t>
            </w:r>
            <w:r>
              <w:rPr>
                <w:rFonts w:hint="eastAsia"/>
                <w:sz w:val="24"/>
              </w:rPr>
              <w:t>1次。</w:t>
            </w:r>
          </w:p>
          <w:p w14:paraId="7E8B23E7">
            <w:pPr>
              <w:numPr>
                <w:ilvl w:val="0"/>
                <w:numId w:val="13"/>
              </w:numPr>
              <w:ind w:left="360" w:hanging="360"/>
              <w:rPr>
                <w:rFonts w:hint="eastAsia"/>
                <w:sz w:val="24"/>
              </w:rPr>
            </w:pPr>
            <w:r>
              <w:rPr>
                <w:rFonts w:hint="eastAsia"/>
                <w:sz w:val="24"/>
              </w:rPr>
              <w:t>按相关规定、规程对</w:t>
            </w:r>
            <w:r>
              <w:rPr>
                <w:sz w:val="24"/>
              </w:rPr>
              <w:t>甲方</w:t>
            </w:r>
            <w:r>
              <w:rPr>
                <w:rFonts w:hint="eastAsia"/>
                <w:sz w:val="24"/>
              </w:rPr>
              <w:t>绝缘监督人员进行培训、取证考核。</w:t>
            </w:r>
          </w:p>
          <w:p w14:paraId="070BAE97">
            <w:pPr>
              <w:numPr>
                <w:ilvl w:val="0"/>
                <w:numId w:val="13"/>
              </w:numPr>
              <w:ind w:left="360" w:hanging="360"/>
              <w:rPr>
                <w:rFonts w:hint="eastAsia"/>
                <w:sz w:val="24"/>
              </w:rPr>
            </w:pPr>
            <w:r>
              <w:rPr>
                <w:sz w:val="24"/>
              </w:rPr>
              <w:t>培训方式：培训班、现场培训、现场技术指导、现场专题技术分析</w:t>
            </w:r>
            <w:r>
              <w:rPr>
                <w:rFonts w:hint="eastAsia"/>
                <w:sz w:val="24"/>
              </w:rPr>
              <w:t>等。</w:t>
            </w:r>
          </w:p>
          <w:p w14:paraId="7A1A35A1">
            <w:pPr>
              <w:numPr>
                <w:ilvl w:val="0"/>
                <w:numId w:val="13"/>
              </w:numPr>
              <w:ind w:left="360" w:hanging="360"/>
              <w:rPr>
                <w:rFonts w:hint="eastAsia"/>
                <w:sz w:val="24"/>
              </w:rPr>
            </w:pPr>
            <w:r>
              <w:rPr>
                <w:rFonts w:hint="eastAsia" w:ascii="宋体" w:hAnsi="宋体"/>
                <w:sz w:val="24"/>
              </w:rPr>
              <w:t>每年至少提供绝缘技术有关技术情报、最新行业技术标准、新工艺等方面信息1批次。</w:t>
            </w:r>
          </w:p>
          <w:p w14:paraId="76B03246">
            <w:pPr>
              <w:rPr>
                <w:sz w:val="24"/>
              </w:rPr>
            </w:pPr>
          </w:p>
        </w:tc>
        <w:tc>
          <w:tcPr>
            <w:tcW w:w="2416" w:type="dxa"/>
            <w:tcBorders>
              <w:top w:val="nil"/>
              <w:left w:val="nil"/>
              <w:bottom w:val="single" w:color="auto" w:sz="4" w:space="0"/>
              <w:right w:val="single" w:color="auto" w:sz="4" w:space="0"/>
            </w:tcBorders>
            <w:noWrap w:val="0"/>
            <w:vAlign w:val="top"/>
          </w:tcPr>
          <w:p w14:paraId="438A783D">
            <w:pPr>
              <w:rPr>
                <w:sz w:val="24"/>
              </w:rPr>
            </w:pPr>
          </w:p>
        </w:tc>
      </w:tr>
      <w:tr w14:paraId="5A80340C">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038F1DE2">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4012CEAB">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670" w:type="dxa"/>
            <w:tcBorders>
              <w:top w:val="nil"/>
              <w:left w:val="nil"/>
              <w:bottom w:val="single" w:color="auto" w:sz="4" w:space="0"/>
              <w:right w:val="single" w:color="auto" w:sz="4" w:space="0"/>
            </w:tcBorders>
            <w:noWrap w:val="0"/>
            <w:vAlign w:val="center"/>
          </w:tcPr>
          <w:p w14:paraId="5F82E61A">
            <w:pPr>
              <w:numPr>
                <w:ilvl w:val="0"/>
                <w:numId w:val="14"/>
              </w:numPr>
              <w:ind w:left="360" w:hanging="360"/>
              <w:rPr>
                <w:rFonts w:hint="eastAsia"/>
                <w:sz w:val="24"/>
              </w:rPr>
            </w:pPr>
            <w:r>
              <w:rPr>
                <w:sz w:val="24"/>
              </w:rPr>
              <w:t>现场检查运行日志、试验报告、缺陷处理、</w:t>
            </w:r>
            <w:r>
              <w:rPr>
                <w:rFonts w:hint="eastAsia"/>
                <w:sz w:val="24"/>
              </w:rPr>
              <w:t>绝缘</w:t>
            </w:r>
            <w:r>
              <w:rPr>
                <w:sz w:val="24"/>
              </w:rPr>
              <w:t>监</w:t>
            </w:r>
            <w:r>
              <w:rPr>
                <w:rFonts w:hint="eastAsia"/>
                <w:sz w:val="24"/>
              </w:rPr>
              <w:t>控</w:t>
            </w:r>
            <w:r>
              <w:rPr>
                <w:sz w:val="24"/>
              </w:rPr>
              <w:t>规程执行情况</w:t>
            </w:r>
            <w:r>
              <w:rPr>
                <w:rFonts w:hint="eastAsia"/>
                <w:sz w:val="24"/>
              </w:rPr>
              <w:t>。</w:t>
            </w:r>
          </w:p>
          <w:p w14:paraId="16BAC36E">
            <w:pPr>
              <w:numPr>
                <w:ilvl w:val="0"/>
                <w:numId w:val="14"/>
              </w:numPr>
              <w:ind w:left="360" w:hanging="360"/>
              <w:rPr>
                <w:rFonts w:hint="eastAsia"/>
                <w:sz w:val="24"/>
              </w:rPr>
            </w:pPr>
            <w:r>
              <w:rPr>
                <w:rFonts w:hint="eastAsia" w:ascii="宋体" w:hAnsi="宋体"/>
                <w:sz w:val="24"/>
              </w:rPr>
              <w:t>检查工作完成后及时与甲方绝缘技术监督管理人员进行沟通汇报，并在15个工作日内提交</w:t>
            </w:r>
            <w:r>
              <w:rPr>
                <w:rFonts w:ascii="宋体" w:hAnsi="宋体"/>
                <w:sz w:val="24"/>
              </w:rPr>
              <w:t>检查评价报告</w:t>
            </w:r>
            <w:r>
              <w:rPr>
                <w:rFonts w:hint="eastAsia" w:ascii="宋体" w:hAnsi="宋体"/>
                <w:sz w:val="24"/>
              </w:rPr>
              <w:t>。</w:t>
            </w:r>
          </w:p>
        </w:tc>
        <w:tc>
          <w:tcPr>
            <w:tcW w:w="2416" w:type="dxa"/>
            <w:tcBorders>
              <w:top w:val="nil"/>
              <w:left w:val="nil"/>
              <w:bottom w:val="single" w:color="auto" w:sz="4" w:space="0"/>
              <w:right w:val="single" w:color="auto" w:sz="4" w:space="0"/>
            </w:tcBorders>
            <w:noWrap w:val="0"/>
            <w:vAlign w:val="top"/>
          </w:tcPr>
          <w:p w14:paraId="0D978F91">
            <w:pPr>
              <w:rPr>
                <w:rFonts w:hint="eastAsia"/>
                <w:sz w:val="24"/>
              </w:rPr>
            </w:pPr>
            <w:r>
              <w:rPr>
                <w:sz w:val="24"/>
              </w:rPr>
              <w:t>现场检查不少于3天</w:t>
            </w:r>
            <w:r>
              <w:rPr>
                <w:rFonts w:hint="eastAsia"/>
                <w:sz w:val="24"/>
              </w:rPr>
              <w:t>。</w:t>
            </w:r>
          </w:p>
        </w:tc>
      </w:tr>
      <w:tr w14:paraId="6C18D98C">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1643934C">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55F3C65D">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670" w:type="dxa"/>
            <w:tcBorders>
              <w:top w:val="single" w:color="auto" w:sz="4" w:space="0"/>
              <w:left w:val="nil"/>
              <w:bottom w:val="single" w:color="auto" w:sz="4" w:space="0"/>
              <w:right w:val="single" w:color="auto" w:sz="4" w:space="0"/>
            </w:tcBorders>
            <w:noWrap w:val="0"/>
            <w:vAlign w:val="center"/>
          </w:tcPr>
          <w:p w14:paraId="08D53F40">
            <w:pPr>
              <w:numPr>
                <w:ilvl w:val="0"/>
                <w:numId w:val="15"/>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4643D53A">
            <w:pPr>
              <w:numPr>
                <w:ilvl w:val="0"/>
                <w:numId w:val="15"/>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416" w:type="dxa"/>
            <w:tcBorders>
              <w:top w:val="single" w:color="auto" w:sz="4" w:space="0"/>
              <w:left w:val="nil"/>
              <w:bottom w:val="single" w:color="auto" w:sz="4" w:space="0"/>
              <w:right w:val="single" w:color="auto" w:sz="4" w:space="0"/>
            </w:tcBorders>
            <w:noWrap w:val="0"/>
            <w:vAlign w:val="top"/>
          </w:tcPr>
          <w:p w14:paraId="64A1E797">
            <w:pPr>
              <w:rPr>
                <w:rFonts w:hint="eastAsia"/>
                <w:sz w:val="24"/>
              </w:rPr>
            </w:pPr>
          </w:p>
        </w:tc>
      </w:tr>
    </w:tbl>
    <w:p w14:paraId="17FE9A7C">
      <w:pPr>
        <w:jc w:val="left"/>
      </w:pPr>
    </w:p>
    <w:p w14:paraId="4F9589BD">
      <w:pPr>
        <w:spacing w:before="187" w:line="360" w:lineRule="auto"/>
        <w:rPr>
          <w:b/>
          <w:sz w:val="24"/>
        </w:rPr>
      </w:pPr>
      <w:r>
        <w:rPr>
          <w:rFonts w:hint="eastAsia"/>
          <w:b/>
          <w:sz w:val="24"/>
        </w:rPr>
        <w:t>四、</w:t>
      </w:r>
      <w:r>
        <w:rPr>
          <w:b/>
          <w:sz w:val="24"/>
        </w:rPr>
        <w:t>专业：电测</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2A09F77F">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02C6ACF">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75B91A5E">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7DC89325">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145DE398">
            <w:pPr>
              <w:jc w:val="center"/>
              <w:rPr>
                <w:rFonts w:eastAsia="黑体"/>
                <w:sz w:val="24"/>
              </w:rPr>
            </w:pPr>
            <w:r>
              <w:rPr>
                <w:rFonts w:eastAsia="黑体"/>
                <w:sz w:val="24"/>
              </w:rPr>
              <w:t>备注</w:t>
            </w:r>
          </w:p>
        </w:tc>
      </w:tr>
      <w:tr w14:paraId="107BD47B">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20D540F1">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70F06C90">
            <w:pPr>
              <w:rPr>
                <w:sz w:val="24"/>
              </w:rPr>
            </w:pPr>
            <w:r>
              <w:rPr>
                <w:b/>
                <w:sz w:val="24"/>
              </w:rPr>
              <w:t>归口管理：</w:t>
            </w:r>
            <w:r>
              <w:rPr>
                <w:sz w:val="24"/>
              </w:rPr>
              <w:t>对甲方电工仪表、电测指示仪表、电测测量仪表、电测记录仪表、电能计量表（包括最大需量及分时计量电能表）、电量变送器、电测计量系统及测量二次回路</w:t>
            </w:r>
            <w:r>
              <w:rPr>
                <w:rFonts w:hint="eastAsia"/>
                <w:sz w:val="24"/>
              </w:rPr>
              <w:t>设备</w:t>
            </w:r>
            <w:r>
              <w:rPr>
                <w:sz w:val="24"/>
              </w:rPr>
              <w:t>、电测计量标准装置进行技术监</w:t>
            </w:r>
            <w:r>
              <w:rPr>
                <w:rFonts w:hint="eastAsia"/>
                <w:sz w:val="24"/>
              </w:rPr>
              <w:t>督管理</w:t>
            </w:r>
            <w:r>
              <w:rPr>
                <w:sz w:val="24"/>
              </w:rPr>
              <w:t>。</w:t>
            </w:r>
          </w:p>
        </w:tc>
        <w:tc>
          <w:tcPr>
            <w:tcW w:w="5386" w:type="dxa"/>
            <w:tcBorders>
              <w:top w:val="nil"/>
              <w:left w:val="nil"/>
              <w:bottom w:val="single" w:color="auto" w:sz="4" w:space="0"/>
              <w:right w:val="single" w:color="auto" w:sz="4" w:space="0"/>
            </w:tcBorders>
            <w:noWrap w:val="0"/>
            <w:vAlign w:val="top"/>
          </w:tcPr>
          <w:p w14:paraId="34D1BF03">
            <w:pPr>
              <w:numPr>
                <w:ilvl w:val="0"/>
                <w:numId w:val="16"/>
              </w:numPr>
              <w:ind w:left="360" w:hanging="360"/>
              <w:rPr>
                <w:rFonts w:hint="eastAsia"/>
                <w:sz w:val="24"/>
              </w:rPr>
            </w:pPr>
            <w:r>
              <w:rPr>
                <w:sz w:val="24"/>
              </w:rPr>
              <w:t>按</w:t>
            </w:r>
            <w:r>
              <w:rPr>
                <w:rFonts w:hint="eastAsia"/>
                <w:sz w:val="24"/>
              </w:rPr>
              <w:t>《广西电力技术专业监控考核办法》</w:t>
            </w:r>
            <w:r>
              <w:rPr>
                <w:sz w:val="24"/>
              </w:rPr>
              <w:t>及电力行业电测</w:t>
            </w:r>
            <w:r>
              <w:rPr>
                <w:rFonts w:hint="eastAsia"/>
                <w:sz w:val="24"/>
              </w:rPr>
              <w:t>监督</w:t>
            </w:r>
            <w:r>
              <w:rPr>
                <w:sz w:val="24"/>
              </w:rPr>
              <w:t>规程进行技术</w:t>
            </w:r>
            <w:r>
              <w:rPr>
                <w:rFonts w:hint="eastAsia"/>
                <w:sz w:val="24"/>
              </w:rPr>
              <w:t>监督</w:t>
            </w:r>
            <w:r>
              <w:rPr>
                <w:sz w:val="24"/>
              </w:rPr>
              <w:t>管理</w:t>
            </w:r>
            <w:r>
              <w:rPr>
                <w:rFonts w:hint="eastAsia"/>
                <w:sz w:val="24"/>
              </w:rPr>
              <w:t>，并</w:t>
            </w:r>
            <w:r>
              <w:rPr>
                <w:sz w:val="24"/>
              </w:rPr>
              <w:t>进行技术监控管理。</w:t>
            </w:r>
          </w:p>
          <w:p w14:paraId="0D525BA6">
            <w:pPr>
              <w:numPr>
                <w:ilvl w:val="0"/>
                <w:numId w:val="16"/>
              </w:numPr>
              <w:ind w:left="360" w:hanging="360"/>
              <w:rPr>
                <w:sz w:val="24"/>
              </w:rPr>
            </w:pPr>
            <w:r>
              <w:rPr>
                <w:rFonts w:hint="eastAsia"/>
                <w:sz w:val="24"/>
              </w:rPr>
              <w:t>检查、指导、监督甲方开展电测技术监督管理工作。协助解决电测技术监督方面存在的问题。</w:t>
            </w:r>
          </w:p>
        </w:tc>
        <w:tc>
          <w:tcPr>
            <w:tcW w:w="2700" w:type="dxa"/>
            <w:tcBorders>
              <w:top w:val="nil"/>
              <w:left w:val="nil"/>
              <w:bottom w:val="single" w:color="auto" w:sz="4" w:space="0"/>
              <w:right w:val="single" w:color="auto" w:sz="4" w:space="0"/>
            </w:tcBorders>
            <w:noWrap w:val="0"/>
            <w:vAlign w:val="top"/>
          </w:tcPr>
          <w:p w14:paraId="403DDC05">
            <w:pPr>
              <w:rPr>
                <w:sz w:val="24"/>
              </w:rPr>
            </w:pPr>
          </w:p>
        </w:tc>
      </w:tr>
      <w:tr w14:paraId="266BB417">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3A8C584">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40BF5B1A">
            <w:pPr>
              <w:rPr>
                <w:sz w:val="24"/>
              </w:rPr>
            </w:pPr>
            <w:r>
              <w:rPr>
                <w:b/>
                <w:sz w:val="24"/>
              </w:rPr>
              <w:t>方案审查：</w:t>
            </w:r>
            <w:r>
              <w:rPr>
                <w:rFonts w:hint="eastAsia"/>
                <w:sz w:val="24"/>
              </w:rPr>
              <w:t>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tc>
        <w:tc>
          <w:tcPr>
            <w:tcW w:w="5386" w:type="dxa"/>
            <w:tcBorders>
              <w:top w:val="nil"/>
              <w:left w:val="nil"/>
              <w:bottom w:val="single" w:color="auto" w:sz="4" w:space="0"/>
              <w:right w:val="single" w:color="auto" w:sz="4" w:space="0"/>
            </w:tcBorders>
            <w:noWrap w:val="0"/>
            <w:vAlign w:val="center"/>
          </w:tcPr>
          <w:p w14:paraId="52325AE8">
            <w:pPr>
              <w:numPr>
                <w:ilvl w:val="0"/>
                <w:numId w:val="17"/>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051EF489">
            <w:pPr>
              <w:numPr>
                <w:ilvl w:val="0"/>
                <w:numId w:val="17"/>
              </w:numPr>
              <w:ind w:left="360" w:hanging="360"/>
              <w:rPr>
                <w:rFonts w:hint="eastAsia"/>
                <w:sz w:val="24"/>
              </w:rPr>
            </w:pPr>
            <w:r>
              <w:rPr>
                <w:sz w:val="24"/>
              </w:rPr>
              <w:t>大小修</w:t>
            </w:r>
            <w:r>
              <w:rPr>
                <w:rFonts w:hint="eastAsia"/>
                <w:sz w:val="24"/>
              </w:rPr>
              <w:t>期间应派员对电测技术监督进行技术指导，</w:t>
            </w:r>
            <w:r>
              <w:rPr>
                <w:sz w:val="24"/>
              </w:rPr>
              <w:t>发现问题</w:t>
            </w:r>
            <w:r>
              <w:rPr>
                <w:rFonts w:hint="eastAsia"/>
                <w:sz w:val="24"/>
              </w:rPr>
              <w:t>时</w:t>
            </w:r>
            <w:r>
              <w:rPr>
                <w:sz w:val="24"/>
              </w:rPr>
              <w:t>提出处理建议或方案</w:t>
            </w:r>
            <w:r>
              <w:rPr>
                <w:rFonts w:hint="eastAsia"/>
                <w:sz w:val="24"/>
              </w:rPr>
              <w:t>。</w:t>
            </w:r>
          </w:p>
          <w:p w14:paraId="2B694B41">
            <w:pPr>
              <w:numPr>
                <w:ilvl w:val="0"/>
                <w:numId w:val="17"/>
              </w:numPr>
              <w:ind w:left="360" w:hanging="360"/>
              <w:rPr>
                <w:rFonts w:hint="eastAsia"/>
                <w:sz w:val="24"/>
              </w:rPr>
            </w:pPr>
            <w:r>
              <w:rPr>
                <w:sz w:val="24"/>
              </w:rPr>
              <w:t>甲方</w:t>
            </w:r>
            <w:r>
              <w:rPr>
                <w:rFonts w:hint="eastAsia"/>
                <w:sz w:val="24"/>
              </w:rPr>
              <w:t>在检修过程中发现缺陷等问题通知</w:t>
            </w:r>
            <w:r>
              <w:rPr>
                <w:sz w:val="24"/>
              </w:rPr>
              <w:t>乙方</w:t>
            </w:r>
            <w:r>
              <w:rPr>
                <w:rFonts w:hint="eastAsia"/>
                <w:sz w:val="24"/>
              </w:rPr>
              <w:t>派技术员至现场指导时，乙方应按甲方提出的项目及时间要求到达检修现场指导，并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194B045F">
            <w:pPr>
              <w:rPr>
                <w:sz w:val="24"/>
              </w:rPr>
            </w:pPr>
          </w:p>
        </w:tc>
      </w:tr>
      <w:tr w14:paraId="57B9B6E6">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529B1A0">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5B00973E">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w:t>
            </w:r>
            <w:r>
              <w:rPr>
                <w:rFonts w:ascii="Times New Roman" w:hAnsi="Times New Roman" w:eastAsia="宋体" w:cs="Times New Roman"/>
                <w:kern w:val="2"/>
                <w:sz w:val="24"/>
                <w:szCs w:val="24"/>
                <w:lang w:val="en-US" w:eastAsia="zh-CN" w:bidi="ar-SA"/>
              </w:rPr>
              <w:t>电测计量检定人员进行持证</w:t>
            </w:r>
            <w:r>
              <w:rPr>
                <w:rFonts w:hint="eastAsia" w:ascii="Times New Roman" w:hAnsi="Times New Roman" w:eastAsia="宋体" w:cs="Times New Roman"/>
                <w:kern w:val="2"/>
                <w:sz w:val="24"/>
                <w:szCs w:val="24"/>
                <w:lang w:val="en-US" w:eastAsia="zh-CN" w:bidi="ar-SA"/>
              </w:rPr>
              <w:t>及交流、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70C58D54">
            <w:pPr>
              <w:numPr>
                <w:ilvl w:val="0"/>
                <w:numId w:val="18"/>
              </w:numPr>
              <w:ind w:left="360" w:hanging="360"/>
              <w:rPr>
                <w:rFonts w:hint="eastAsia"/>
                <w:sz w:val="24"/>
              </w:rPr>
            </w:pPr>
            <w:r>
              <w:rPr>
                <w:rFonts w:hint="eastAsia"/>
                <w:sz w:val="24"/>
              </w:rPr>
              <w:t>每年至少组织</w:t>
            </w:r>
            <w:r>
              <w:rPr>
                <w:sz w:val="24"/>
              </w:rPr>
              <w:t>甲方</w:t>
            </w:r>
            <w:r>
              <w:rPr>
                <w:rFonts w:hint="eastAsia"/>
                <w:sz w:val="24"/>
              </w:rPr>
              <w:t>电测监督人员对国家或行业新</w:t>
            </w:r>
            <w:r>
              <w:rPr>
                <w:sz w:val="24"/>
              </w:rPr>
              <w:t>规程、规范学习应用；试验方法、技能培训</w:t>
            </w:r>
            <w:r>
              <w:rPr>
                <w:rFonts w:hint="eastAsia"/>
                <w:sz w:val="24"/>
              </w:rPr>
              <w:t>1次。</w:t>
            </w:r>
          </w:p>
          <w:p w14:paraId="30AA3CF1">
            <w:pPr>
              <w:numPr>
                <w:ilvl w:val="0"/>
                <w:numId w:val="18"/>
              </w:numPr>
              <w:ind w:left="360" w:hanging="360"/>
              <w:rPr>
                <w:rFonts w:hint="eastAsia"/>
                <w:sz w:val="24"/>
              </w:rPr>
            </w:pPr>
            <w:r>
              <w:rPr>
                <w:sz w:val="24"/>
              </w:rPr>
              <w:t>培训方式：培训班、现场培训、现场技术指导、现场专题技术分析</w:t>
            </w:r>
            <w:r>
              <w:rPr>
                <w:rFonts w:hint="eastAsia"/>
                <w:sz w:val="24"/>
              </w:rPr>
              <w:t>等。</w:t>
            </w:r>
          </w:p>
          <w:p w14:paraId="78FCDCA7">
            <w:pPr>
              <w:numPr>
                <w:ilvl w:val="0"/>
                <w:numId w:val="18"/>
              </w:numPr>
              <w:ind w:left="360" w:hanging="360"/>
              <w:rPr>
                <w:rFonts w:hint="eastAsia"/>
                <w:sz w:val="24"/>
              </w:rPr>
            </w:pPr>
            <w:r>
              <w:rPr>
                <w:rFonts w:hint="eastAsia" w:ascii="宋体" w:hAnsi="宋体"/>
                <w:sz w:val="24"/>
              </w:rPr>
              <w:t>每年至少提供电测有关技术情报、最新行业技术标准、新工艺等方面信息1批次。</w:t>
            </w:r>
          </w:p>
          <w:p w14:paraId="3AD8EBA8">
            <w:pPr>
              <w:rPr>
                <w:sz w:val="24"/>
              </w:rPr>
            </w:pPr>
          </w:p>
        </w:tc>
        <w:tc>
          <w:tcPr>
            <w:tcW w:w="2700" w:type="dxa"/>
            <w:tcBorders>
              <w:top w:val="nil"/>
              <w:left w:val="nil"/>
              <w:bottom w:val="single" w:color="auto" w:sz="4" w:space="0"/>
              <w:right w:val="single" w:color="auto" w:sz="4" w:space="0"/>
            </w:tcBorders>
            <w:noWrap w:val="0"/>
            <w:vAlign w:val="top"/>
          </w:tcPr>
          <w:p w14:paraId="3CFE0294">
            <w:pPr>
              <w:rPr>
                <w:sz w:val="24"/>
              </w:rPr>
            </w:pPr>
          </w:p>
        </w:tc>
      </w:tr>
      <w:tr w14:paraId="40D2474A">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02DF6F9">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25007ABB">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096411EA">
            <w:pPr>
              <w:numPr>
                <w:ilvl w:val="0"/>
                <w:numId w:val="19"/>
              </w:numPr>
              <w:ind w:left="360" w:hanging="360"/>
              <w:rPr>
                <w:rFonts w:hint="eastAsia"/>
                <w:sz w:val="24"/>
              </w:rPr>
            </w:pPr>
            <w:r>
              <w:rPr>
                <w:sz w:val="24"/>
              </w:rPr>
              <w:t>现场检查运行日志、试验报告、缺陷处理、电测</w:t>
            </w:r>
            <w:r>
              <w:rPr>
                <w:rFonts w:hint="eastAsia"/>
                <w:sz w:val="24"/>
              </w:rPr>
              <w:t>监控</w:t>
            </w:r>
            <w:r>
              <w:rPr>
                <w:sz w:val="24"/>
              </w:rPr>
              <w:t>规程执行情况</w:t>
            </w:r>
            <w:r>
              <w:rPr>
                <w:rFonts w:hint="eastAsia"/>
                <w:sz w:val="24"/>
              </w:rPr>
              <w:t>。</w:t>
            </w:r>
          </w:p>
          <w:p w14:paraId="7A7CFE6E">
            <w:pPr>
              <w:numPr>
                <w:ilvl w:val="0"/>
                <w:numId w:val="19"/>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4E3A2F31">
            <w:pPr>
              <w:rPr>
                <w:rFonts w:hint="eastAsia"/>
                <w:sz w:val="24"/>
              </w:rPr>
            </w:pPr>
            <w:r>
              <w:rPr>
                <w:sz w:val="24"/>
              </w:rPr>
              <w:t>现场检查不少于3天</w:t>
            </w:r>
            <w:r>
              <w:rPr>
                <w:rFonts w:hint="eastAsia"/>
                <w:sz w:val="24"/>
              </w:rPr>
              <w:t>。</w:t>
            </w:r>
          </w:p>
        </w:tc>
      </w:tr>
      <w:tr w14:paraId="5ADC89AA">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6966F39A">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30EDA5EA">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13FB6E22">
            <w:pPr>
              <w:numPr>
                <w:ilvl w:val="0"/>
                <w:numId w:val="20"/>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439F25C2">
            <w:pPr>
              <w:numPr>
                <w:ilvl w:val="0"/>
                <w:numId w:val="20"/>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5571EBAF">
            <w:pPr>
              <w:rPr>
                <w:rFonts w:hint="eastAsia"/>
                <w:sz w:val="24"/>
              </w:rPr>
            </w:pPr>
          </w:p>
        </w:tc>
      </w:tr>
    </w:tbl>
    <w:p w14:paraId="115DE488">
      <w:pPr>
        <w:jc w:val="left"/>
        <w:rPr>
          <w:rFonts w:hint="eastAsia"/>
        </w:rPr>
      </w:pPr>
    </w:p>
    <w:p w14:paraId="75DC5C97">
      <w:pPr>
        <w:spacing w:before="187" w:line="360" w:lineRule="auto"/>
        <w:rPr>
          <w:b/>
          <w:sz w:val="24"/>
        </w:rPr>
      </w:pPr>
      <w:r>
        <w:rPr>
          <w:rFonts w:hint="eastAsia"/>
          <w:b/>
          <w:sz w:val="24"/>
        </w:rPr>
        <w:t>五、</w:t>
      </w:r>
      <w:r>
        <w:rPr>
          <w:b/>
          <w:sz w:val="24"/>
        </w:rPr>
        <w:t>专</w:t>
      </w:r>
      <w:r>
        <w:rPr>
          <w:rFonts w:eastAsia="黑体"/>
          <w:b/>
          <w:sz w:val="24"/>
        </w:rPr>
        <w:t>业：</w:t>
      </w:r>
      <w:r>
        <w:rPr>
          <w:b/>
          <w:sz w:val="24"/>
        </w:rPr>
        <w:t>热工</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50CEDA91">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0E00A2B4">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1CD61746">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6123F668">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119ADA5A">
            <w:pPr>
              <w:jc w:val="center"/>
              <w:rPr>
                <w:rFonts w:eastAsia="黑体"/>
                <w:sz w:val="24"/>
              </w:rPr>
            </w:pPr>
            <w:r>
              <w:rPr>
                <w:rFonts w:eastAsia="黑体"/>
                <w:sz w:val="24"/>
              </w:rPr>
              <w:t>备注</w:t>
            </w:r>
          </w:p>
        </w:tc>
      </w:tr>
      <w:tr w14:paraId="7CA41A2B">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4EF8B1A1">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27EE0636">
            <w:pPr>
              <w:rPr>
                <w:rFonts w:hint="eastAsia"/>
                <w:b/>
                <w:sz w:val="24"/>
              </w:rPr>
            </w:pPr>
            <w:r>
              <w:rPr>
                <w:b/>
                <w:sz w:val="24"/>
              </w:rPr>
              <w:t>归口管理（火电）：</w:t>
            </w:r>
          </w:p>
          <w:p w14:paraId="207ED1B1">
            <w:pPr>
              <w:ind w:left="240" w:hanging="240" w:hangingChars="100"/>
              <w:rPr>
                <w:rFonts w:hint="eastAsia"/>
                <w:sz w:val="24"/>
              </w:rPr>
            </w:pPr>
            <w:r>
              <w:rPr>
                <w:rFonts w:hint="eastAsia"/>
                <w:sz w:val="24"/>
              </w:rPr>
              <w:t xml:space="preserve">1. </w:t>
            </w:r>
            <w:r>
              <w:rPr>
                <w:sz w:val="24"/>
              </w:rPr>
              <w:t>对甲方</w:t>
            </w:r>
            <w:r>
              <w:rPr>
                <w:rFonts w:hint="eastAsia"/>
                <w:sz w:val="24"/>
              </w:rPr>
              <w:t>热工</w:t>
            </w:r>
            <w:r>
              <w:rPr>
                <w:sz w:val="24"/>
              </w:rPr>
              <w:t>自动调节系统进行技术监控：</w:t>
            </w:r>
            <w:r>
              <w:rPr>
                <w:rFonts w:hint="eastAsia"/>
                <w:sz w:val="24"/>
              </w:rPr>
              <w:t>定期对焚烧炉自动燃烧ACC控制</w:t>
            </w:r>
            <w:r>
              <w:rPr>
                <w:sz w:val="24"/>
              </w:rPr>
              <w:t>、汽包水位控制、、主汽温控制、</w:t>
            </w:r>
            <w:r>
              <w:rPr>
                <w:rFonts w:hint="eastAsia"/>
                <w:sz w:val="24"/>
              </w:rPr>
              <w:t>机前</w:t>
            </w:r>
            <w:r>
              <w:rPr>
                <w:sz w:val="24"/>
              </w:rPr>
              <w:t>压力控制、送风控制、引风控制、汽机转速控制、负荷控制、汽机轴封控制、汽机旁路控制、凝汽器水位控制、</w:t>
            </w:r>
            <w:r>
              <w:rPr>
                <w:rFonts w:hint="eastAsia"/>
                <w:sz w:val="24"/>
              </w:rPr>
              <w:t>一次调频、除氧器水位控制、给水压力控制</w:t>
            </w:r>
            <w:r>
              <w:rPr>
                <w:sz w:val="24"/>
              </w:rPr>
              <w:t>等；</w:t>
            </w:r>
          </w:p>
          <w:p w14:paraId="3B6659C1">
            <w:pPr>
              <w:ind w:left="240" w:hanging="240" w:hangingChars="100"/>
              <w:rPr>
                <w:rFonts w:hint="eastAsia"/>
                <w:sz w:val="24"/>
              </w:rPr>
            </w:pPr>
            <w:r>
              <w:rPr>
                <w:rFonts w:hint="eastAsia"/>
                <w:sz w:val="24"/>
              </w:rPr>
              <w:t xml:space="preserve">2. </w:t>
            </w:r>
            <w:r>
              <w:rPr>
                <w:sz w:val="24"/>
              </w:rPr>
              <w:t>保护、联锁及工艺信号系统：锅炉</w:t>
            </w:r>
            <w:r>
              <w:rPr>
                <w:rFonts w:hint="eastAsia"/>
                <w:sz w:val="24"/>
              </w:rPr>
              <w:t>MFT</w:t>
            </w:r>
            <w:r>
              <w:rPr>
                <w:sz w:val="24"/>
              </w:rPr>
              <w:t>保护；汽包水位异常保护；炉膛压力异常保护；；超速保护；轴向位移大保护；</w:t>
            </w:r>
            <w:r>
              <w:rPr>
                <w:rFonts w:hint="eastAsia"/>
                <w:sz w:val="24"/>
              </w:rPr>
              <w:t>胀差大保护、</w:t>
            </w:r>
            <w:r>
              <w:rPr>
                <w:sz w:val="24"/>
              </w:rPr>
              <w:t>润滑油压低保护</w:t>
            </w:r>
            <w:r>
              <w:rPr>
                <w:rFonts w:hint="eastAsia"/>
                <w:sz w:val="24"/>
              </w:rPr>
              <w:t>；轴承温度高保护；</w:t>
            </w:r>
            <w:r>
              <w:rPr>
                <w:sz w:val="24"/>
              </w:rPr>
              <w:t>真空低保护；给水泵跳闸保护；送、引风机全跳保护；一次风机全跳保护；；；凝结水泵全跳保护；润滑油泵、闭式冷却水泵全跳保护；汽机旁路系统保护</w:t>
            </w:r>
            <w:r>
              <w:rPr>
                <w:rFonts w:hint="eastAsia"/>
                <w:sz w:val="24"/>
              </w:rPr>
              <w:t xml:space="preserve">；循环水泵全跳保护等。 </w:t>
            </w:r>
          </w:p>
          <w:p w14:paraId="57450440">
            <w:pPr>
              <w:ind w:left="240" w:hanging="240" w:hangingChars="100"/>
              <w:rPr>
                <w:rFonts w:hint="eastAsia"/>
                <w:sz w:val="24"/>
              </w:rPr>
            </w:pPr>
            <w:r>
              <w:rPr>
                <w:rFonts w:hint="eastAsia"/>
                <w:sz w:val="24"/>
              </w:rPr>
              <w:t xml:space="preserve">3. </w:t>
            </w:r>
            <w:r>
              <w:rPr>
                <w:sz w:val="24"/>
              </w:rPr>
              <w:t>程序控制系统、计算机监视控制系统</w:t>
            </w:r>
            <w:r>
              <w:rPr>
                <w:rFonts w:hint="eastAsia"/>
                <w:sz w:val="24"/>
              </w:rPr>
              <w:t>。</w:t>
            </w:r>
          </w:p>
          <w:p w14:paraId="284C44C4">
            <w:pPr>
              <w:rPr>
                <w:sz w:val="24"/>
              </w:rPr>
            </w:pPr>
            <w:r>
              <w:rPr>
                <w:rFonts w:hint="eastAsia"/>
                <w:sz w:val="24"/>
              </w:rPr>
              <w:t>4. 热工参数检测、显示、记录系统。</w:t>
            </w:r>
          </w:p>
          <w:p w14:paraId="1C1610B4">
            <w:pPr>
              <w:ind w:left="240" w:hanging="240" w:hangingChars="100"/>
              <w:rPr>
                <w:rFonts w:hint="eastAsia"/>
                <w:sz w:val="24"/>
              </w:rPr>
            </w:pPr>
            <w:r>
              <w:rPr>
                <w:rFonts w:hint="eastAsia"/>
                <w:sz w:val="24"/>
              </w:rPr>
              <w:t xml:space="preserve">5. </w:t>
            </w:r>
            <w:r>
              <w:rPr>
                <w:sz w:val="24"/>
              </w:rPr>
              <w:t>热工设备：检测元件(温度、压力、流量、转速、振动、物位、位移</w:t>
            </w:r>
            <w:r>
              <w:rPr>
                <w:rFonts w:hint="eastAsia"/>
                <w:sz w:val="24"/>
              </w:rPr>
              <w:t>、成分分析</w:t>
            </w:r>
            <w:r>
              <w:rPr>
                <w:sz w:val="24"/>
              </w:rPr>
              <w:t>等一次传感器)；仪表取源管路；二次线路；显示、记录仪表及控制设备；热控保护及工艺信号设备；程序控制系统中控制设备部分；计算机过程报警及事故追忆</w:t>
            </w:r>
            <w:r>
              <w:rPr>
                <w:rFonts w:hint="eastAsia"/>
                <w:sz w:val="24"/>
              </w:rPr>
              <w:t>，化学在线监测仪表。</w:t>
            </w:r>
          </w:p>
          <w:p w14:paraId="40DBDE5C">
            <w:pPr>
              <w:rPr>
                <w:rFonts w:hint="eastAsia"/>
                <w:sz w:val="24"/>
              </w:rPr>
            </w:pPr>
            <w:r>
              <w:rPr>
                <w:rFonts w:hint="eastAsia"/>
                <w:sz w:val="24"/>
              </w:rPr>
              <w:t xml:space="preserve">6. </w:t>
            </w:r>
            <w:r>
              <w:rPr>
                <w:sz w:val="24"/>
              </w:rPr>
              <w:t>计量标准器具</w:t>
            </w:r>
            <w:r>
              <w:rPr>
                <w:rFonts w:hint="eastAsia"/>
                <w:sz w:val="24"/>
              </w:rPr>
              <w:t>、</w:t>
            </w:r>
            <w:r>
              <w:rPr>
                <w:sz w:val="24"/>
              </w:rPr>
              <w:t>装置</w:t>
            </w:r>
            <w:r>
              <w:rPr>
                <w:rFonts w:hint="eastAsia"/>
                <w:sz w:val="24"/>
              </w:rPr>
              <w:t>、</w:t>
            </w:r>
            <w:r>
              <w:rPr>
                <w:sz w:val="24"/>
              </w:rPr>
              <w:t>量值传递；</w:t>
            </w:r>
          </w:p>
        </w:tc>
        <w:tc>
          <w:tcPr>
            <w:tcW w:w="5386" w:type="dxa"/>
            <w:tcBorders>
              <w:top w:val="nil"/>
              <w:left w:val="nil"/>
              <w:bottom w:val="single" w:color="auto" w:sz="4" w:space="0"/>
              <w:right w:val="single" w:color="auto" w:sz="4" w:space="0"/>
            </w:tcBorders>
            <w:noWrap w:val="0"/>
            <w:vAlign w:val="top"/>
          </w:tcPr>
          <w:p w14:paraId="326CC2E5">
            <w:pPr>
              <w:ind w:left="240" w:hanging="240" w:hangingChars="100"/>
              <w:rPr>
                <w:rFonts w:hint="eastAsia" w:cs="宋体"/>
                <w:kern w:val="0"/>
                <w:sz w:val="24"/>
              </w:rPr>
            </w:pPr>
            <w:r>
              <w:rPr>
                <w:rFonts w:hint="eastAsia" w:cs="宋体"/>
                <w:kern w:val="0"/>
                <w:sz w:val="24"/>
              </w:rPr>
              <w:t>1. 依据《火力发电厂热工仪表及控制装置技术监督规定》指导、检查、督促</w:t>
            </w:r>
            <w:r>
              <w:rPr>
                <w:sz w:val="24"/>
              </w:rPr>
              <w:t>甲方</w:t>
            </w:r>
            <w:r>
              <w:rPr>
                <w:rFonts w:hint="eastAsia"/>
                <w:sz w:val="24"/>
              </w:rPr>
              <w:t>开展</w:t>
            </w:r>
            <w:r>
              <w:rPr>
                <w:rFonts w:hint="eastAsia" w:cs="宋体"/>
                <w:kern w:val="0"/>
                <w:sz w:val="24"/>
              </w:rPr>
              <w:t>热工技术监督工作，组织技术攻关，推动新技术的应用。</w:t>
            </w:r>
          </w:p>
          <w:p w14:paraId="618658E4">
            <w:pPr>
              <w:ind w:left="240" w:hanging="240" w:hangingChars="100"/>
              <w:rPr>
                <w:rFonts w:hint="eastAsia" w:cs="宋体"/>
                <w:kern w:val="0"/>
                <w:sz w:val="24"/>
              </w:rPr>
            </w:pPr>
            <w:r>
              <w:rPr>
                <w:rFonts w:hint="eastAsia" w:cs="宋体"/>
                <w:kern w:val="0"/>
                <w:sz w:val="24"/>
              </w:rPr>
              <w:t>2. 监督、检查</w:t>
            </w:r>
            <w:r>
              <w:rPr>
                <w:sz w:val="24"/>
              </w:rPr>
              <w:t>甲方</w:t>
            </w:r>
            <w:r>
              <w:rPr>
                <w:rFonts w:hint="eastAsia" w:cs="宋体"/>
                <w:kern w:val="0"/>
                <w:sz w:val="24"/>
              </w:rPr>
              <w:t>热工量值传递及周期检定计划的执行情况。</w:t>
            </w:r>
          </w:p>
          <w:p w14:paraId="2C148F8A">
            <w:pPr>
              <w:ind w:left="240" w:hanging="240" w:hangingChars="100"/>
              <w:rPr>
                <w:rFonts w:hint="eastAsia"/>
                <w:sz w:val="24"/>
              </w:rPr>
            </w:pPr>
            <w:r>
              <w:rPr>
                <w:rFonts w:hint="eastAsia"/>
                <w:sz w:val="24"/>
              </w:rPr>
              <w:t xml:space="preserve">3. </w:t>
            </w:r>
            <w:r>
              <w:rPr>
                <w:sz w:val="24"/>
              </w:rPr>
              <w:t>帮助和指导甲方按电力行业热工监控规程结合甲方的要求建立热工技术监控管理制度</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5402316D">
            <w:pPr>
              <w:rPr>
                <w:sz w:val="24"/>
              </w:rPr>
            </w:pPr>
          </w:p>
        </w:tc>
      </w:tr>
      <w:tr w14:paraId="25B92BD5">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3F50012C">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07FD11EF">
            <w:pPr>
              <w:rPr>
                <w:rFonts w:hint="eastAsia"/>
                <w:b/>
                <w:sz w:val="24"/>
              </w:rPr>
            </w:pPr>
            <w:r>
              <w:rPr>
                <w:b/>
                <w:sz w:val="24"/>
              </w:rPr>
              <w:t>方案审查：</w:t>
            </w:r>
          </w:p>
          <w:p w14:paraId="5623F386">
            <w:pPr>
              <w:rPr>
                <w:rFonts w:hint="eastAsia"/>
                <w:sz w:val="24"/>
              </w:rPr>
            </w:pPr>
            <w:r>
              <w:rPr>
                <w:rFonts w:hint="eastAsia"/>
                <w:sz w:val="24"/>
              </w:rPr>
              <w:t>1. 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p w14:paraId="10A37CB7">
            <w:pPr>
              <w:rPr>
                <w:sz w:val="24"/>
              </w:rPr>
            </w:pPr>
            <w:r>
              <w:rPr>
                <w:rFonts w:hint="eastAsia"/>
                <w:sz w:val="24"/>
              </w:rPr>
              <w:t>2. 技改项目的改造方案、调试及试验报告等审核。</w:t>
            </w:r>
          </w:p>
        </w:tc>
        <w:tc>
          <w:tcPr>
            <w:tcW w:w="5386" w:type="dxa"/>
            <w:tcBorders>
              <w:top w:val="nil"/>
              <w:left w:val="nil"/>
              <w:bottom w:val="single" w:color="auto" w:sz="4" w:space="0"/>
              <w:right w:val="single" w:color="auto" w:sz="4" w:space="0"/>
            </w:tcBorders>
            <w:noWrap w:val="0"/>
            <w:vAlign w:val="center"/>
          </w:tcPr>
          <w:p w14:paraId="4B2EF455">
            <w:pPr>
              <w:numPr>
                <w:ilvl w:val="0"/>
                <w:numId w:val="21"/>
              </w:numPr>
              <w:ind w:left="360" w:hanging="360"/>
              <w:rPr>
                <w:rFonts w:hint="eastAsia"/>
                <w:sz w:val="24"/>
              </w:rPr>
            </w:pPr>
            <w:r>
              <w:rPr>
                <w:sz w:val="24"/>
              </w:rPr>
              <w:t>甲方于大修前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650219C2">
            <w:pPr>
              <w:numPr>
                <w:ilvl w:val="0"/>
                <w:numId w:val="21"/>
              </w:numPr>
              <w:ind w:left="360" w:hanging="360"/>
              <w:rPr>
                <w:rFonts w:hint="eastAsia"/>
                <w:sz w:val="24"/>
              </w:rPr>
            </w:pPr>
            <w:r>
              <w:rPr>
                <w:sz w:val="24"/>
              </w:rPr>
              <w:t>大小修</w:t>
            </w:r>
            <w:r>
              <w:rPr>
                <w:rFonts w:hint="eastAsia"/>
                <w:sz w:val="24"/>
              </w:rPr>
              <w:t>期间应派员对热工技术监督进行技术指导，</w:t>
            </w:r>
            <w:r>
              <w:rPr>
                <w:sz w:val="24"/>
              </w:rPr>
              <w:t>发现问题</w:t>
            </w:r>
            <w:r>
              <w:rPr>
                <w:rFonts w:hint="eastAsia"/>
                <w:sz w:val="24"/>
              </w:rPr>
              <w:t>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4087EB5D">
            <w:pPr>
              <w:rPr>
                <w:sz w:val="24"/>
              </w:rPr>
            </w:pPr>
          </w:p>
        </w:tc>
      </w:tr>
      <w:tr w14:paraId="07503264">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AEF5959">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7B6DA274">
            <w:pPr>
              <w:widowControl w:val="0"/>
              <w:jc w:val="both"/>
              <w:rPr>
                <w:rFonts w:hint="eastAsia" w:ascii="Times New Roman" w:hAnsi="Times New Roman" w:eastAsia="宋体" w:cs="Times New Roman"/>
                <w:b/>
                <w:kern w:val="2"/>
                <w:sz w:val="24"/>
                <w:szCs w:val="24"/>
                <w:lang w:val="en-US" w:eastAsia="zh-CN" w:bidi="ar-SA"/>
              </w:rPr>
            </w:pPr>
            <w:r>
              <w:rPr>
                <w:rFonts w:ascii="Times New Roman" w:hAnsi="Times New Roman" w:eastAsia="宋体" w:cs="Times New Roman"/>
                <w:b/>
                <w:kern w:val="2"/>
                <w:sz w:val="24"/>
                <w:szCs w:val="24"/>
                <w:lang w:val="en-US" w:eastAsia="zh-CN" w:bidi="ar-SA"/>
              </w:rPr>
              <w:t>交流培训</w:t>
            </w:r>
            <w:r>
              <w:rPr>
                <w:rFonts w:ascii="Times New Roman" w:hAnsi="Times New Roman" w:eastAsia="宋体" w:cs="Times New Roman"/>
                <w:kern w:val="2"/>
                <w:sz w:val="24"/>
                <w:szCs w:val="24"/>
                <w:lang w:val="en-US" w:eastAsia="zh-CN" w:bidi="ar-SA"/>
              </w:rPr>
              <w:t>：</w:t>
            </w:r>
            <w:r>
              <w:rPr>
                <w:rFonts w:hint="eastAsia" w:ascii="Times New Roman" w:hAnsi="Times New Roman" w:eastAsia="宋体" w:cs="Times New Roman"/>
                <w:b/>
                <w:kern w:val="2"/>
                <w:sz w:val="24"/>
                <w:szCs w:val="24"/>
                <w:lang w:val="en-US" w:eastAsia="zh-CN" w:bidi="ar-SA"/>
              </w:rPr>
              <w:t xml:space="preserve"> </w:t>
            </w:r>
          </w:p>
          <w:p w14:paraId="4327BBE5">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 对</w:t>
            </w:r>
            <w:r>
              <w:rPr>
                <w:rFonts w:ascii="Times New Roman" w:hAnsi="Times New Roman" w:eastAsia="宋体" w:cs="Times New Roman"/>
                <w:kern w:val="2"/>
                <w:sz w:val="24"/>
                <w:szCs w:val="24"/>
                <w:lang w:val="en-US" w:eastAsia="zh-CN" w:bidi="ar-SA"/>
              </w:rPr>
              <w:t>热工计量检定人员进行持证</w:t>
            </w:r>
            <w:r>
              <w:rPr>
                <w:rFonts w:hint="eastAsia" w:ascii="Times New Roman" w:hAnsi="Times New Roman" w:eastAsia="宋体" w:cs="Times New Roman"/>
                <w:kern w:val="2"/>
                <w:sz w:val="24"/>
                <w:szCs w:val="24"/>
                <w:lang w:val="en-US" w:eastAsia="zh-CN" w:bidi="ar-SA"/>
              </w:rPr>
              <w:t>、换证</w:t>
            </w:r>
            <w:r>
              <w:rPr>
                <w:rFonts w:ascii="Times New Roman" w:hAnsi="Times New Roman" w:eastAsia="宋体" w:cs="Times New Roman"/>
                <w:kern w:val="2"/>
                <w:sz w:val="24"/>
                <w:szCs w:val="24"/>
                <w:lang w:val="en-US" w:eastAsia="zh-CN" w:bidi="ar-SA"/>
              </w:rPr>
              <w:t>培训</w:t>
            </w:r>
            <w:r>
              <w:rPr>
                <w:rFonts w:hint="eastAsia" w:ascii="Times New Roman" w:hAnsi="Times New Roman" w:eastAsia="宋体" w:cs="Times New Roman"/>
                <w:kern w:val="2"/>
                <w:sz w:val="24"/>
                <w:szCs w:val="24"/>
                <w:lang w:val="en-US" w:eastAsia="zh-CN" w:bidi="ar-SA"/>
              </w:rPr>
              <w:t>及交流</w:t>
            </w:r>
            <w:r>
              <w:rPr>
                <w:rFonts w:ascii="Times New Roman" w:hAnsi="Times New Roman" w:eastAsia="宋体" w:cs="Times New Roman"/>
                <w:kern w:val="2"/>
                <w:sz w:val="24"/>
                <w:szCs w:val="24"/>
                <w:lang w:val="en-US" w:eastAsia="zh-CN" w:bidi="ar-SA"/>
              </w:rPr>
              <w:t>工作</w:t>
            </w:r>
            <w:r>
              <w:rPr>
                <w:rFonts w:hint="eastAsia" w:ascii="Times New Roman" w:hAnsi="Times New Roman" w:eastAsia="宋体" w:cs="Times New Roman"/>
                <w:kern w:val="2"/>
                <w:sz w:val="24"/>
                <w:szCs w:val="24"/>
                <w:lang w:val="en-US" w:eastAsia="zh-CN" w:bidi="ar-SA"/>
              </w:rPr>
              <w:t>。</w:t>
            </w:r>
          </w:p>
          <w:p w14:paraId="51529809">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 组织专业技术人员到区内各同类电厂进行现场相互经验交流学习（不少于一次）。</w:t>
            </w:r>
          </w:p>
          <w:p w14:paraId="506A038E">
            <w:pPr>
              <w:rPr>
                <w:rFonts w:hint="eastAsia"/>
                <w:sz w:val="24"/>
              </w:rPr>
            </w:pPr>
            <w:r>
              <w:rPr>
                <w:rFonts w:hint="eastAsia"/>
                <w:sz w:val="24"/>
              </w:rPr>
              <w:t>3  参与甲方热控系统控制方案讨论分析，提出优化建议及方案。</w:t>
            </w:r>
          </w:p>
        </w:tc>
        <w:tc>
          <w:tcPr>
            <w:tcW w:w="5386" w:type="dxa"/>
            <w:tcBorders>
              <w:top w:val="nil"/>
              <w:left w:val="nil"/>
              <w:bottom w:val="single" w:color="auto" w:sz="4" w:space="0"/>
              <w:right w:val="single" w:color="auto" w:sz="4" w:space="0"/>
            </w:tcBorders>
            <w:noWrap w:val="0"/>
            <w:vAlign w:val="top"/>
          </w:tcPr>
          <w:p w14:paraId="23424CBE">
            <w:pPr>
              <w:numPr>
                <w:ilvl w:val="0"/>
                <w:numId w:val="22"/>
              </w:numPr>
              <w:ind w:left="360" w:hanging="360"/>
              <w:rPr>
                <w:rFonts w:hint="eastAsia"/>
                <w:sz w:val="24"/>
              </w:rPr>
            </w:pPr>
            <w:r>
              <w:rPr>
                <w:rFonts w:hint="eastAsia"/>
                <w:sz w:val="24"/>
              </w:rPr>
              <w:t>每年至少组织</w:t>
            </w:r>
            <w:r>
              <w:rPr>
                <w:sz w:val="24"/>
              </w:rPr>
              <w:t>甲方</w:t>
            </w:r>
            <w:r>
              <w:rPr>
                <w:rFonts w:hint="eastAsia"/>
                <w:sz w:val="24"/>
              </w:rPr>
              <w:t>热工监督人员对国家或行业新</w:t>
            </w:r>
            <w:r>
              <w:rPr>
                <w:sz w:val="24"/>
              </w:rPr>
              <w:t>规程、规范学习应用；试验方法、技能培训</w:t>
            </w:r>
            <w:r>
              <w:rPr>
                <w:rFonts w:hint="eastAsia"/>
                <w:sz w:val="24"/>
              </w:rPr>
              <w:t>；新技术应用培训1次。</w:t>
            </w:r>
          </w:p>
          <w:p w14:paraId="07A5ED4D">
            <w:pPr>
              <w:numPr>
                <w:ilvl w:val="0"/>
                <w:numId w:val="22"/>
              </w:numPr>
              <w:ind w:left="360" w:hanging="360"/>
              <w:rPr>
                <w:rFonts w:hint="eastAsia"/>
                <w:sz w:val="24"/>
              </w:rPr>
            </w:pPr>
            <w:r>
              <w:rPr>
                <w:sz w:val="24"/>
              </w:rPr>
              <w:t>培训方式：培训班、现场培训、现场技术指导、现场专题技术分析</w:t>
            </w:r>
            <w:r>
              <w:rPr>
                <w:rFonts w:hint="eastAsia"/>
                <w:sz w:val="24"/>
              </w:rPr>
              <w:t>等。</w:t>
            </w:r>
          </w:p>
          <w:p w14:paraId="151D2377">
            <w:pPr>
              <w:numPr>
                <w:ilvl w:val="0"/>
                <w:numId w:val="22"/>
              </w:numPr>
              <w:ind w:left="360" w:hanging="360"/>
              <w:rPr>
                <w:rFonts w:hint="eastAsia"/>
                <w:sz w:val="24"/>
              </w:rPr>
            </w:pPr>
            <w:r>
              <w:rPr>
                <w:rFonts w:hint="eastAsia" w:ascii="宋体" w:hAnsi="宋体"/>
                <w:sz w:val="24"/>
              </w:rPr>
              <w:t>每年至少提供热控技术有关技术情报、最新行业技术标准、新工艺等信息1批次。</w:t>
            </w:r>
          </w:p>
        </w:tc>
        <w:tc>
          <w:tcPr>
            <w:tcW w:w="2700" w:type="dxa"/>
            <w:tcBorders>
              <w:top w:val="nil"/>
              <w:left w:val="nil"/>
              <w:bottom w:val="single" w:color="auto" w:sz="4" w:space="0"/>
              <w:right w:val="single" w:color="auto" w:sz="4" w:space="0"/>
            </w:tcBorders>
            <w:noWrap w:val="0"/>
            <w:vAlign w:val="top"/>
          </w:tcPr>
          <w:p w14:paraId="1EDD3E63">
            <w:pPr>
              <w:rPr>
                <w:sz w:val="24"/>
              </w:rPr>
            </w:pPr>
          </w:p>
        </w:tc>
      </w:tr>
      <w:tr w14:paraId="1359E94F">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38CBA980">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1A685134">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b/>
                <w:kern w:val="2"/>
                <w:sz w:val="24"/>
                <w:szCs w:val="24"/>
                <w:lang w:val="en-US" w:eastAsia="zh-CN" w:bidi="ar-SA"/>
              </w:rPr>
              <w:t>动态检查</w:t>
            </w:r>
            <w:r>
              <w:rPr>
                <w:rFonts w:ascii="Times New Roman" w:hAnsi="Times New Roman" w:eastAsia="宋体" w:cs="Times New Roman"/>
                <w:kern w:val="2"/>
                <w:sz w:val="24"/>
                <w:szCs w:val="24"/>
                <w:lang w:val="en-US" w:eastAsia="zh-CN" w:bidi="ar-SA"/>
              </w:rPr>
              <w:t>：每年进行一次监控检查和评价，提交检查评价报告，对异常情况提出告警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1EDBA4CB">
            <w:pPr>
              <w:numPr>
                <w:ilvl w:val="0"/>
                <w:numId w:val="23"/>
              </w:numPr>
              <w:ind w:left="360" w:hanging="360"/>
              <w:rPr>
                <w:rFonts w:hint="eastAsia"/>
                <w:sz w:val="24"/>
              </w:rPr>
            </w:pPr>
            <w:r>
              <w:rPr>
                <w:sz w:val="24"/>
              </w:rPr>
              <w:t>现场检查运行日志、试验报告、缺陷处理、热工监控规程执行情况</w:t>
            </w:r>
            <w:r>
              <w:rPr>
                <w:rFonts w:hint="eastAsia"/>
                <w:sz w:val="24"/>
              </w:rPr>
              <w:t>，提出整改建议及措施。</w:t>
            </w:r>
          </w:p>
          <w:p w14:paraId="516C0E0C">
            <w:pPr>
              <w:numPr>
                <w:ilvl w:val="0"/>
                <w:numId w:val="23"/>
              </w:numPr>
              <w:ind w:left="360" w:hanging="360"/>
              <w:rPr>
                <w:rFonts w:hint="eastAsia"/>
                <w:sz w:val="24"/>
              </w:rPr>
            </w:pPr>
            <w:r>
              <w:rPr>
                <w:rFonts w:hint="eastAsia" w:ascii="宋体" w:hAnsi="宋体"/>
                <w:sz w:val="24"/>
              </w:rPr>
              <w:t>检查工作完成后及时与甲方热工技术监督管理人员进行沟通汇报，并在15个工作日内提交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5059B9E2">
            <w:pPr>
              <w:rPr>
                <w:rFonts w:hint="eastAsia"/>
                <w:sz w:val="24"/>
              </w:rPr>
            </w:pPr>
            <w:r>
              <w:rPr>
                <w:sz w:val="24"/>
              </w:rPr>
              <w:t>现场检查不少于3天</w:t>
            </w:r>
            <w:r>
              <w:rPr>
                <w:rFonts w:hint="eastAsia"/>
                <w:sz w:val="24"/>
              </w:rPr>
              <w:t>。</w:t>
            </w:r>
          </w:p>
        </w:tc>
      </w:tr>
      <w:tr w14:paraId="230D4B12">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1495D05B">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31353FF3">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b/>
                <w:kern w:val="2"/>
                <w:sz w:val="24"/>
                <w:szCs w:val="24"/>
                <w:lang w:val="en-US" w:eastAsia="zh-CN" w:bidi="ar-SA"/>
              </w:rPr>
              <w:t>事故分析</w:t>
            </w:r>
            <w:r>
              <w:rPr>
                <w:rFonts w:ascii="Times New Roman" w:hAnsi="Times New Roman" w:eastAsia="宋体" w:cs="Times New Roman"/>
                <w:kern w:val="2"/>
                <w:sz w:val="24"/>
                <w:szCs w:val="24"/>
                <w:lang w:val="en-US" w:eastAsia="zh-CN" w:bidi="ar-SA"/>
              </w:rPr>
              <w:t>：事故或运行中出现异常等情况，及时派有关技术人员赶赴现场，协助进行事故或异常情况调查分析，并提出处理意见和反事故措施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、整改对策及措施。</w:t>
            </w:r>
          </w:p>
        </w:tc>
        <w:tc>
          <w:tcPr>
            <w:tcW w:w="5386" w:type="dxa"/>
            <w:tcBorders>
              <w:top w:val="single" w:color="auto" w:sz="4" w:space="0"/>
              <w:left w:val="nil"/>
              <w:bottom w:val="single" w:color="auto" w:sz="4" w:space="0"/>
              <w:right w:val="single" w:color="auto" w:sz="4" w:space="0"/>
            </w:tcBorders>
            <w:noWrap w:val="0"/>
            <w:vAlign w:val="center"/>
          </w:tcPr>
          <w:p w14:paraId="11DDEAC5">
            <w:pPr>
              <w:numPr>
                <w:ilvl w:val="0"/>
                <w:numId w:val="24"/>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07DD34D5">
            <w:pPr>
              <w:numPr>
                <w:ilvl w:val="0"/>
                <w:numId w:val="24"/>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528E4431">
            <w:pPr>
              <w:rPr>
                <w:rFonts w:hint="eastAsia"/>
                <w:sz w:val="24"/>
              </w:rPr>
            </w:pPr>
          </w:p>
        </w:tc>
      </w:tr>
    </w:tbl>
    <w:p w14:paraId="6EB47DDA">
      <w:pPr>
        <w:jc w:val="left"/>
      </w:pPr>
    </w:p>
    <w:p w14:paraId="13FE800D">
      <w:pPr>
        <w:jc w:val="left"/>
        <w:rPr>
          <w:rFonts w:hint="eastAsia"/>
        </w:rPr>
      </w:pPr>
    </w:p>
    <w:p w14:paraId="24F1AC92">
      <w:pPr>
        <w:jc w:val="left"/>
        <w:rPr>
          <w:rFonts w:hint="eastAsia"/>
          <w:b/>
          <w:sz w:val="24"/>
        </w:rPr>
      </w:pPr>
      <w:r>
        <w:rPr>
          <w:rFonts w:hint="eastAsia"/>
          <w:b/>
          <w:sz w:val="24"/>
        </w:rPr>
        <w:t>六、</w:t>
      </w:r>
      <w:r>
        <w:rPr>
          <w:b/>
          <w:sz w:val="24"/>
        </w:rPr>
        <w:t>专业：环保</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4E9989B1">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F0D8180">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3832B58B">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1D75507D">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48F9C0B4">
            <w:pPr>
              <w:jc w:val="center"/>
              <w:rPr>
                <w:rFonts w:eastAsia="黑体"/>
                <w:sz w:val="24"/>
              </w:rPr>
            </w:pPr>
            <w:r>
              <w:rPr>
                <w:rFonts w:eastAsia="黑体"/>
                <w:sz w:val="24"/>
              </w:rPr>
              <w:t>备注</w:t>
            </w:r>
          </w:p>
        </w:tc>
      </w:tr>
      <w:tr w14:paraId="080BFF26">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75D6733C">
            <w:pPr>
              <w:jc w:val="center"/>
              <w:rPr>
                <w:sz w:val="24"/>
              </w:rPr>
            </w:pPr>
            <w:r>
              <w:rPr>
                <w:sz w:val="24"/>
              </w:rPr>
              <w:t>1</w:t>
            </w:r>
          </w:p>
        </w:tc>
        <w:tc>
          <w:tcPr>
            <w:tcW w:w="5364" w:type="dxa"/>
            <w:tcBorders>
              <w:top w:val="nil"/>
              <w:left w:val="nil"/>
              <w:bottom w:val="single" w:color="auto" w:sz="4" w:space="0"/>
              <w:right w:val="single" w:color="auto" w:sz="4" w:space="0"/>
            </w:tcBorders>
            <w:noWrap w:val="0"/>
            <w:vAlign w:val="top"/>
          </w:tcPr>
          <w:p w14:paraId="0B4D6898">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年度监督会议</w:t>
            </w:r>
          </w:p>
        </w:tc>
        <w:tc>
          <w:tcPr>
            <w:tcW w:w="5386" w:type="dxa"/>
            <w:tcBorders>
              <w:top w:val="nil"/>
              <w:left w:val="nil"/>
              <w:bottom w:val="single" w:color="auto" w:sz="4" w:space="0"/>
              <w:right w:val="single" w:color="auto" w:sz="4" w:space="0"/>
            </w:tcBorders>
            <w:noWrap w:val="0"/>
            <w:vAlign w:val="center"/>
          </w:tcPr>
          <w:p w14:paraId="5374FD40">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组织召开广西电力系统环保监督工作会议，总结、交流和推广环保监督的工作经验和先进技术。</w:t>
            </w:r>
          </w:p>
        </w:tc>
        <w:tc>
          <w:tcPr>
            <w:tcW w:w="2700" w:type="dxa"/>
            <w:tcBorders>
              <w:top w:val="nil"/>
              <w:left w:val="nil"/>
              <w:bottom w:val="single" w:color="auto" w:sz="4" w:space="0"/>
              <w:right w:val="single" w:color="auto" w:sz="4" w:space="0"/>
            </w:tcBorders>
            <w:noWrap w:val="0"/>
            <w:vAlign w:val="center"/>
          </w:tcPr>
          <w:p w14:paraId="2C9EFDBA">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及时将时间和安排通知甲方，每年一次</w:t>
            </w:r>
          </w:p>
        </w:tc>
      </w:tr>
      <w:tr w14:paraId="18461507">
        <w:tblPrEx>
          <w:tblCellMar>
            <w:top w:w="0" w:type="dxa"/>
            <w:left w:w="0" w:type="dxa"/>
            <w:bottom w:w="0" w:type="dxa"/>
            <w:right w:w="0" w:type="dxa"/>
          </w:tblCellMar>
        </w:tblPrEx>
        <w:trPr>
          <w:trHeight w:val="229" w:hRule="atLeast"/>
        </w:trPr>
        <w:tc>
          <w:tcPr>
            <w:tcW w:w="605" w:type="dxa"/>
            <w:tcBorders>
              <w:top w:val="nil"/>
              <w:left w:val="single" w:color="auto" w:sz="4" w:space="0"/>
              <w:bottom w:val="single" w:color="auto" w:sz="4" w:space="0"/>
              <w:right w:val="single" w:color="auto" w:sz="4" w:space="0"/>
            </w:tcBorders>
            <w:noWrap w:val="0"/>
            <w:vAlign w:val="center"/>
          </w:tcPr>
          <w:p w14:paraId="11CB8773">
            <w:pPr>
              <w:jc w:val="center"/>
              <w:rPr>
                <w:sz w:val="24"/>
              </w:rPr>
            </w:pPr>
            <w:r>
              <w:rPr>
                <w:sz w:val="24"/>
              </w:rPr>
              <w:t>2</w:t>
            </w:r>
          </w:p>
        </w:tc>
        <w:tc>
          <w:tcPr>
            <w:tcW w:w="5364" w:type="dxa"/>
            <w:tcBorders>
              <w:top w:val="nil"/>
              <w:left w:val="nil"/>
              <w:bottom w:val="single" w:color="auto" w:sz="4" w:space="0"/>
              <w:right w:val="single" w:color="auto" w:sz="4" w:space="0"/>
            </w:tcBorders>
            <w:noWrap w:val="0"/>
            <w:vAlign w:val="top"/>
          </w:tcPr>
          <w:p w14:paraId="356E7D42">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交流培训</w:t>
            </w:r>
          </w:p>
        </w:tc>
        <w:tc>
          <w:tcPr>
            <w:tcW w:w="5386" w:type="dxa"/>
            <w:tcBorders>
              <w:top w:val="nil"/>
              <w:left w:val="nil"/>
              <w:bottom w:val="single" w:color="auto" w:sz="4" w:space="0"/>
              <w:right w:val="single" w:color="auto" w:sz="4" w:space="0"/>
            </w:tcBorders>
            <w:noWrap w:val="0"/>
            <w:vAlign w:val="center"/>
          </w:tcPr>
          <w:p w14:paraId="0D3D933C">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1.组织甲方环保专业人员参加广西电力系统技术监督化学专业技术交流会或技术培训班；</w:t>
            </w:r>
          </w:p>
          <w:p w14:paraId="7316B0E2">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2.组织环保专业人员到电厂进行技术交流。</w:t>
            </w:r>
          </w:p>
        </w:tc>
        <w:tc>
          <w:tcPr>
            <w:tcW w:w="2700" w:type="dxa"/>
            <w:tcBorders>
              <w:top w:val="nil"/>
              <w:left w:val="nil"/>
              <w:bottom w:val="single" w:color="auto" w:sz="4" w:space="0"/>
              <w:right w:val="single" w:color="auto" w:sz="4" w:space="0"/>
            </w:tcBorders>
            <w:noWrap w:val="0"/>
            <w:vAlign w:val="center"/>
          </w:tcPr>
          <w:p w14:paraId="596F13BF">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及时将时间和安排通知甲方，每年一次</w:t>
            </w:r>
          </w:p>
        </w:tc>
      </w:tr>
      <w:tr w14:paraId="4B80EC2D">
        <w:tblPrEx>
          <w:tblCellMar>
            <w:top w:w="0" w:type="dxa"/>
            <w:left w:w="0" w:type="dxa"/>
            <w:bottom w:w="0" w:type="dxa"/>
            <w:right w:w="0" w:type="dxa"/>
          </w:tblCellMar>
        </w:tblPrEx>
        <w:trPr>
          <w:trHeight w:val="229" w:hRule="atLeast"/>
        </w:trPr>
        <w:tc>
          <w:tcPr>
            <w:tcW w:w="605" w:type="dxa"/>
            <w:tcBorders>
              <w:top w:val="nil"/>
              <w:left w:val="single" w:color="auto" w:sz="4" w:space="0"/>
              <w:bottom w:val="single" w:color="auto" w:sz="4" w:space="0"/>
              <w:right w:val="single" w:color="auto" w:sz="4" w:space="0"/>
            </w:tcBorders>
            <w:noWrap w:val="0"/>
            <w:vAlign w:val="center"/>
          </w:tcPr>
          <w:p w14:paraId="021A8863">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top"/>
          </w:tcPr>
          <w:p w14:paraId="6ED40F01">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事故分析</w:t>
            </w:r>
          </w:p>
        </w:tc>
        <w:tc>
          <w:tcPr>
            <w:tcW w:w="5386" w:type="dxa"/>
            <w:tcBorders>
              <w:top w:val="nil"/>
              <w:left w:val="nil"/>
              <w:bottom w:val="single" w:color="auto" w:sz="4" w:space="0"/>
              <w:right w:val="single" w:color="auto" w:sz="4" w:space="0"/>
            </w:tcBorders>
            <w:noWrap w:val="0"/>
            <w:vAlign w:val="center"/>
          </w:tcPr>
          <w:p w14:paraId="5C7E07E1">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参加环保事故的调查和分析，提出处理意见，必要时提出反措。</w:t>
            </w:r>
          </w:p>
        </w:tc>
        <w:tc>
          <w:tcPr>
            <w:tcW w:w="2700" w:type="dxa"/>
            <w:tcBorders>
              <w:top w:val="nil"/>
              <w:left w:val="nil"/>
              <w:bottom w:val="single" w:color="auto" w:sz="4" w:space="0"/>
              <w:right w:val="single" w:color="auto" w:sz="4" w:space="0"/>
            </w:tcBorders>
            <w:noWrap w:val="0"/>
            <w:vAlign w:val="center"/>
          </w:tcPr>
          <w:p w14:paraId="1DB28E00">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提交书面意见</w:t>
            </w:r>
          </w:p>
        </w:tc>
      </w:tr>
      <w:tr w14:paraId="52990969">
        <w:tblPrEx>
          <w:tblCellMar>
            <w:top w:w="0" w:type="dxa"/>
            <w:left w:w="0" w:type="dxa"/>
            <w:bottom w:w="0" w:type="dxa"/>
            <w:right w:w="0" w:type="dxa"/>
          </w:tblCellMar>
        </w:tblPrEx>
        <w:trPr>
          <w:trHeight w:val="229" w:hRule="atLeast"/>
        </w:trPr>
        <w:tc>
          <w:tcPr>
            <w:tcW w:w="605" w:type="dxa"/>
            <w:tcBorders>
              <w:top w:val="nil"/>
              <w:left w:val="single" w:color="auto" w:sz="4" w:space="0"/>
              <w:bottom w:val="single" w:color="auto" w:sz="4" w:space="0"/>
              <w:right w:val="single" w:color="auto" w:sz="4" w:space="0"/>
            </w:tcBorders>
            <w:noWrap w:val="0"/>
            <w:vAlign w:val="center"/>
          </w:tcPr>
          <w:p w14:paraId="278D7C57">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top"/>
          </w:tcPr>
          <w:p w14:paraId="666F893C">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方案审查</w:t>
            </w:r>
          </w:p>
        </w:tc>
        <w:tc>
          <w:tcPr>
            <w:tcW w:w="5386" w:type="dxa"/>
            <w:tcBorders>
              <w:top w:val="nil"/>
              <w:left w:val="nil"/>
              <w:bottom w:val="single" w:color="auto" w:sz="4" w:space="0"/>
              <w:right w:val="single" w:color="auto" w:sz="4" w:space="0"/>
            </w:tcBorders>
            <w:noWrap w:val="0"/>
            <w:vAlign w:val="center"/>
          </w:tcPr>
          <w:p w14:paraId="73453D4B">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参加环保设施改造的方案制定和技术审查。</w:t>
            </w:r>
          </w:p>
        </w:tc>
        <w:tc>
          <w:tcPr>
            <w:tcW w:w="2700" w:type="dxa"/>
            <w:tcBorders>
              <w:top w:val="nil"/>
              <w:left w:val="nil"/>
              <w:bottom w:val="single" w:color="auto" w:sz="4" w:space="0"/>
              <w:right w:val="single" w:color="auto" w:sz="4" w:space="0"/>
            </w:tcBorders>
            <w:noWrap w:val="0"/>
            <w:vAlign w:val="center"/>
          </w:tcPr>
          <w:p w14:paraId="62BF7433">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提交书面建议</w:t>
            </w:r>
          </w:p>
        </w:tc>
      </w:tr>
      <w:tr w14:paraId="3C5577DC">
        <w:tblPrEx>
          <w:tblCellMar>
            <w:top w:w="0" w:type="dxa"/>
            <w:left w:w="0" w:type="dxa"/>
            <w:bottom w:w="0" w:type="dxa"/>
            <w:right w:w="0" w:type="dxa"/>
          </w:tblCellMar>
        </w:tblPrEx>
        <w:trPr>
          <w:trHeight w:val="229" w:hRule="atLeast"/>
        </w:trPr>
        <w:tc>
          <w:tcPr>
            <w:tcW w:w="605" w:type="dxa"/>
            <w:tcBorders>
              <w:top w:val="nil"/>
              <w:left w:val="single" w:color="auto" w:sz="4" w:space="0"/>
              <w:bottom w:val="single" w:color="auto" w:sz="4" w:space="0"/>
              <w:right w:val="single" w:color="auto" w:sz="4" w:space="0"/>
            </w:tcBorders>
            <w:noWrap w:val="0"/>
            <w:vAlign w:val="center"/>
          </w:tcPr>
          <w:p w14:paraId="5DE55B87">
            <w:pPr>
              <w:jc w:val="center"/>
              <w:rPr>
                <w:sz w:val="24"/>
              </w:rPr>
            </w:pPr>
            <w:r>
              <w:rPr>
                <w:rFonts w:hint="eastAsia"/>
                <w:sz w:val="24"/>
              </w:rPr>
              <w:t>5</w:t>
            </w:r>
          </w:p>
        </w:tc>
        <w:tc>
          <w:tcPr>
            <w:tcW w:w="5364" w:type="dxa"/>
            <w:tcBorders>
              <w:top w:val="nil"/>
              <w:left w:val="nil"/>
              <w:bottom w:val="single" w:color="auto" w:sz="4" w:space="0"/>
              <w:right w:val="single" w:color="auto" w:sz="4" w:space="0"/>
            </w:tcBorders>
            <w:noWrap w:val="0"/>
            <w:vAlign w:val="top"/>
          </w:tcPr>
          <w:p w14:paraId="5B652C44">
            <w:pPr>
              <w:widowControl w:val="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新技术</w:t>
            </w:r>
          </w:p>
        </w:tc>
        <w:tc>
          <w:tcPr>
            <w:tcW w:w="5386" w:type="dxa"/>
            <w:tcBorders>
              <w:top w:val="nil"/>
              <w:left w:val="nil"/>
              <w:bottom w:val="single" w:color="auto" w:sz="4" w:space="0"/>
              <w:right w:val="single" w:color="auto" w:sz="4" w:space="0"/>
            </w:tcBorders>
            <w:noWrap w:val="0"/>
            <w:vAlign w:val="center"/>
          </w:tcPr>
          <w:p w14:paraId="58FAE3EB">
            <w:pPr>
              <w:rPr>
                <w:sz w:val="24"/>
              </w:rPr>
            </w:pPr>
            <w:r>
              <w:rPr>
                <w:rFonts w:hint="eastAsia"/>
                <w:sz w:val="24"/>
              </w:rPr>
              <w:t>协助甲方进行新技术开发和推广工作，及时提供有关环保监督的技术资料、上级文件、通报和甲方报出数据的分析报告，指出不足及工作方向。</w:t>
            </w:r>
          </w:p>
        </w:tc>
        <w:tc>
          <w:tcPr>
            <w:tcW w:w="2700" w:type="dxa"/>
            <w:tcBorders>
              <w:top w:val="nil"/>
              <w:left w:val="nil"/>
              <w:bottom w:val="single" w:color="auto" w:sz="4" w:space="0"/>
              <w:right w:val="single" w:color="auto" w:sz="4" w:space="0"/>
            </w:tcBorders>
            <w:noWrap w:val="0"/>
            <w:vAlign w:val="center"/>
          </w:tcPr>
          <w:p w14:paraId="321FD4AA">
            <w:pPr>
              <w:rPr>
                <w:sz w:val="24"/>
              </w:rPr>
            </w:pPr>
            <w:r>
              <w:rPr>
                <w:rFonts w:hint="eastAsia"/>
                <w:sz w:val="24"/>
              </w:rPr>
              <w:t>按有关规程要求，提供技术咨询，全年</w:t>
            </w:r>
          </w:p>
        </w:tc>
      </w:tr>
      <w:tr w14:paraId="778CAE5F">
        <w:tblPrEx>
          <w:tblCellMar>
            <w:top w:w="0" w:type="dxa"/>
            <w:left w:w="0" w:type="dxa"/>
            <w:bottom w:w="0" w:type="dxa"/>
            <w:right w:w="0" w:type="dxa"/>
          </w:tblCellMar>
        </w:tblPrEx>
        <w:trPr>
          <w:trHeight w:val="229" w:hRule="atLeast"/>
        </w:trPr>
        <w:tc>
          <w:tcPr>
            <w:tcW w:w="605" w:type="dxa"/>
            <w:tcBorders>
              <w:top w:val="nil"/>
              <w:left w:val="single" w:color="auto" w:sz="4" w:space="0"/>
              <w:bottom w:val="single" w:color="auto" w:sz="4" w:space="0"/>
              <w:right w:val="single" w:color="auto" w:sz="4" w:space="0"/>
            </w:tcBorders>
            <w:noWrap w:val="0"/>
            <w:vAlign w:val="center"/>
          </w:tcPr>
          <w:p w14:paraId="003A56DC">
            <w:pPr>
              <w:jc w:val="center"/>
              <w:rPr>
                <w:sz w:val="24"/>
              </w:rPr>
            </w:pPr>
            <w:r>
              <w:rPr>
                <w:rFonts w:hint="eastAsia"/>
                <w:sz w:val="24"/>
              </w:rPr>
              <w:t>6</w:t>
            </w:r>
          </w:p>
        </w:tc>
        <w:tc>
          <w:tcPr>
            <w:tcW w:w="5364" w:type="dxa"/>
            <w:tcBorders>
              <w:top w:val="nil"/>
              <w:left w:val="nil"/>
              <w:bottom w:val="single" w:color="auto" w:sz="4" w:space="0"/>
              <w:right w:val="single" w:color="auto" w:sz="4" w:space="0"/>
            </w:tcBorders>
            <w:noWrap w:val="0"/>
            <w:vAlign w:val="top"/>
          </w:tcPr>
          <w:p w14:paraId="02E9AAB0">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专业技术监督工作</w:t>
            </w:r>
          </w:p>
        </w:tc>
        <w:tc>
          <w:tcPr>
            <w:tcW w:w="5386" w:type="dxa"/>
            <w:tcBorders>
              <w:top w:val="nil"/>
              <w:left w:val="nil"/>
              <w:bottom w:val="single" w:color="auto" w:sz="4" w:space="0"/>
              <w:right w:val="single" w:color="auto" w:sz="4" w:space="0"/>
            </w:tcBorders>
            <w:noWrap w:val="0"/>
            <w:vAlign w:val="center"/>
          </w:tcPr>
          <w:p w14:paraId="61928EBC">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1.按国家和行业标准对环保技术监督进行归口管理，对环保专业的工作进行全过程的技术监督，进行环保监督检查，提交检查报告；</w:t>
            </w:r>
          </w:p>
          <w:p w14:paraId="76B8A91F">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2.对废水、循环水排污中水、污水的各项指标，烟气的烟尘、SO2、NOX、CO、HCL等指标情况进行检查分析并提出整改意见；</w:t>
            </w:r>
          </w:p>
          <w:p w14:paraId="03344DF6">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3.掌握甲方环保设施的运行情况，发现污染物超标排放时进行复检，并提出处理意见和解决办法；</w:t>
            </w:r>
          </w:p>
          <w:p w14:paraId="61EBB94F">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4.甲方每月按环保技术监督规定报交环境监督月报表，乙方按月、季、年度提供广西电网环保技术监督统计报表；</w:t>
            </w:r>
          </w:p>
        </w:tc>
        <w:tc>
          <w:tcPr>
            <w:tcW w:w="2700" w:type="dxa"/>
            <w:tcBorders>
              <w:top w:val="nil"/>
              <w:left w:val="nil"/>
              <w:bottom w:val="single" w:color="auto" w:sz="4" w:space="0"/>
              <w:right w:val="single" w:color="auto" w:sz="4" w:space="0"/>
            </w:tcBorders>
            <w:noWrap w:val="0"/>
            <w:vAlign w:val="center"/>
          </w:tcPr>
          <w:p w14:paraId="1BD9FC24">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提交书面建议，每年一次</w:t>
            </w:r>
          </w:p>
        </w:tc>
      </w:tr>
    </w:tbl>
    <w:p w14:paraId="43B32CB6">
      <w:pPr>
        <w:jc w:val="left"/>
      </w:pPr>
    </w:p>
    <w:p w14:paraId="65AEEDD7">
      <w:pPr>
        <w:spacing w:before="187" w:line="360" w:lineRule="auto"/>
        <w:rPr>
          <w:b/>
          <w:sz w:val="24"/>
        </w:rPr>
      </w:pPr>
      <w:r>
        <w:rPr>
          <w:rFonts w:hint="eastAsia"/>
          <w:b/>
          <w:sz w:val="24"/>
        </w:rPr>
        <w:t>七、</w:t>
      </w:r>
      <w:r>
        <w:rPr>
          <w:b/>
          <w:sz w:val="24"/>
        </w:rPr>
        <w:t>专业：继电保护</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46A64DB4">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15B8C6BE">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38E93C83">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615AEA5E">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06180D36">
            <w:pPr>
              <w:jc w:val="center"/>
              <w:rPr>
                <w:rFonts w:eastAsia="黑体"/>
                <w:sz w:val="24"/>
              </w:rPr>
            </w:pPr>
            <w:r>
              <w:rPr>
                <w:rFonts w:eastAsia="黑体"/>
                <w:sz w:val="24"/>
              </w:rPr>
              <w:t>备注</w:t>
            </w:r>
          </w:p>
        </w:tc>
      </w:tr>
      <w:tr w14:paraId="2874AB8A">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09C34B89">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334E87D4">
            <w:pPr>
              <w:rPr>
                <w:sz w:val="24"/>
              </w:rPr>
            </w:pPr>
            <w:r>
              <w:rPr>
                <w:b/>
                <w:sz w:val="24"/>
              </w:rPr>
              <w:t>归口管理：</w:t>
            </w:r>
            <w:r>
              <w:rPr>
                <w:sz w:val="24"/>
              </w:rPr>
              <w:t>对甲方发电机保护、主变压器保护、</w:t>
            </w:r>
            <w:r>
              <w:rPr>
                <w:rFonts w:hint="eastAsia"/>
                <w:sz w:val="24"/>
              </w:rPr>
              <w:t>励磁变保护、厂用</w:t>
            </w:r>
            <w:r>
              <w:rPr>
                <w:sz w:val="24"/>
              </w:rPr>
              <w:t>变</w:t>
            </w:r>
            <w:r>
              <w:rPr>
                <w:rFonts w:hint="eastAsia"/>
                <w:sz w:val="24"/>
              </w:rPr>
              <w:t>保护、</w:t>
            </w:r>
            <w:r>
              <w:rPr>
                <w:rFonts w:hint="eastAsia" w:ascii="Times New Roman" w:eastAsia="宋体"/>
                <w:sz w:val="24"/>
                <w:lang w:val="en-US" w:eastAsia="zh-CN"/>
              </w:rPr>
              <w:t>10</w:t>
            </w:r>
            <w:r>
              <w:rPr>
                <w:sz w:val="24"/>
              </w:rPr>
              <w:t>kV备用变</w:t>
            </w:r>
            <w:r>
              <w:rPr>
                <w:rFonts w:hint="eastAsia"/>
                <w:sz w:val="24"/>
              </w:rPr>
              <w:t>保护、</w:t>
            </w:r>
            <w:r>
              <w:rPr>
                <w:sz w:val="24"/>
              </w:rPr>
              <w:t>安全自动装置（包括备用电源自投装置，自动准同期装置）、直流系统、UPS、故障录波器、</w:t>
            </w:r>
            <w:r>
              <w:rPr>
                <w:rFonts w:hint="eastAsia"/>
                <w:sz w:val="24"/>
              </w:rPr>
              <w:t>安稳装置、</w:t>
            </w:r>
            <w:r>
              <w:rPr>
                <w:sz w:val="24"/>
              </w:rPr>
              <w:t>厂用电系统的技术状况、线路及母线保护、10k</w:t>
            </w:r>
            <w:r>
              <w:rPr>
                <w:rFonts w:hint="eastAsia"/>
                <w:sz w:val="24"/>
              </w:rPr>
              <w:t>V厂用辅机综保装置、</w:t>
            </w:r>
            <w:r>
              <w:rPr>
                <w:sz w:val="24"/>
              </w:rPr>
              <w:t>检修质量和运行的可靠性进行技术</w:t>
            </w:r>
            <w:r>
              <w:rPr>
                <w:rFonts w:hint="eastAsia"/>
                <w:sz w:val="24"/>
              </w:rPr>
              <w:t>监控管理</w:t>
            </w:r>
            <w:r>
              <w:rPr>
                <w:sz w:val="24"/>
              </w:rPr>
              <w:t>。</w:t>
            </w:r>
          </w:p>
        </w:tc>
        <w:tc>
          <w:tcPr>
            <w:tcW w:w="5386" w:type="dxa"/>
            <w:tcBorders>
              <w:top w:val="nil"/>
              <w:left w:val="nil"/>
              <w:bottom w:val="single" w:color="auto" w:sz="4" w:space="0"/>
              <w:right w:val="single" w:color="auto" w:sz="4" w:space="0"/>
            </w:tcBorders>
            <w:noWrap w:val="0"/>
            <w:vAlign w:val="top"/>
          </w:tcPr>
          <w:p w14:paraId="5ED23EFB">
            <w:pPr>
              <w:numPr>
                <w:ilvl w:val="0"/>
                <w:numId w:val="25"/>
              </w:numPr>
              <w:ind w:left="360" w:hanging="360"/>
              <w:rPr>
                <w:sz w:val="24"/>
              </w:rPr>
            </w:pPr>
            <w:r>
              <w:rPr>
                <w:sz w:val="24"/>
              </w:rPr>
              <w:t>帮助和指导甲方按电力行业继电保护</w:t>
            </w:r>
            <w:r>
              <w:rPr>
                <w:rFonts w:hint="eastAsia"/>
                <w:sz w:val="24"/>
              </w:rPr>
              <w:t>监控</w:t>
            </w:r>
            <w:r>
              <w:rPr>
                <w:sz w:val="24"/>
              </w:rPr>
              <w:t>规程结合甲方的要求建立继电保护技术监控管理制度</w:t>
            </w:r>
            <w:r>
              <w:rPr>
                <w:rFonts w:hint="eastAsia"/>
                <w:sz w:val="24"/>
              </w:rPr>
              <w:t>，并</w:t>
            </w:r>
            <w:r>
              <w:rPr>
                <w:sz w:val="24"/>
              </w:rPr>
              <w:t>进行技术监</w:t>
            </w:r>
            <w:r>
              <w:rPr>
                <w:rFonts w:hint="eastAsia"/>
                <w:sz w:val="24"/>
              </w:rPr>
              <w:t>督</w:t>
            </w:r>
            <w:r>
              <w:rPr>
                <w:sz w:val="24"/>
              </w:rPr>
              <w:t>管理。</w:t>
            </w:r>
          </w:p>
        </w:tc>
        <w:tc>
          <w:tcPr>
            <w:tcW w:w="2700" w:type="dxa"/>
            <w:tcBorders>
              <w:top w:val="nil"/>
              <w:left w:val="nil"/>
              <w:bottom w:val="single" w:color="auto" w:sz="4" w:space="0"/>
              <w:right w:val="single" w:color="auto" w:sz="4" w:space="0"/>
            </w:tcBorders>
            <w:noWrap w:val="0"/>
            <w:vAlign w:val="top"/>
          </w:tcPr>
          <w:p w14:paraId="3E4CDAE6">
            <w:pPr>
              <w:rPr>
                <w:sz w:val="24"/>
              </w:rPr>
            </w:pPr>
          </w:p>
        </w:tc>
      </w:tr>
      <w:tr w14:paraId="1AE9AAFD">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3F731D44">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3B90FD2B">
            <w:pPr>
              <w:rPr>
                <w:sz w:val="24"/>
              </w:rPr>
            </w:pPr>
            <w:r>
              <w:rPr>
                <w:b/>
                <w:sz w:val="24"/>
              </w:rPr>
              <w:t>方案审查：</w:t>
            </w:r>
            <w:r>
              <w:rPr>
                <w:rFonts w:hint="eastAsia"/>
                <w:sz w:val="24"/>
              </w:rPr>
              <w:t>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tc>
        <w:tc>
          <w:tcPr>
            <w:tcW w:w="5386" w:type="dxa"/>
            <w:tcBorders>
              <w:top w:val="nil"/>
              <w:left w:val="nil"/>
              <w:bottom w:val="single" w:color="auto" w:sz="4" w:space="0"/>
              <w:right w:val="single" w:color="auto" w:sz="4" w:space="0"/>
            </w:tcBorders>
            <w:noWrap w:val="0"/>
            <w:vAlign w:val="center"/>
          </w:tcPr>
          <w:p w14:paraId="63CC34EE">
            <w:pPr>
              <w:numPr>
                <w:ilvl w:val="0"/>
                <w:numId w:val="26"/>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20D081BE">
            <w:pPr>
              <w:numPr>
                <w:ilvl w:val="0"/>
                <w:numId w:val="26"/>
              </w:numPr>
              <w:ind w:left="360" w:hanging="360"/>
              <w:rPr>
                <w:rFonts w:hint="eastAsia"/>
                <w:sz w:val="24"/>
              </w:rPr>
            </w:pPr>
            <w:r>
              <w:rPr>
                <w:sz w:val="24"/>
              </w:rPr>
              <w:t>大小修</w:t>
            </w:r>
            <w:r>
              <w:rPr>
                <w:rFonts w:hint="eastAsia"/>
                <w:sz w:val="24"/>
              </w:rPr>
              <w:t>期间应派员对继电保护技术监督进行技术指导，</w:t>
            </w:r>
            <w:r>
              <w:rPr>
                <w:sz w:val="24"/>
              </w:rPr>
              <w:t>发现问题</w:t>
            </w:r>
            <w:r>
              <w:rPr>
                <w:rFonts w:hint="eastAsia"/>
                <w:sz w:val="24"/>
              </w:rPr>
              <w:t>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6295D4FB">
            <w:pPr>
              <w:rPr>
                <w:sz w:val="24"/>
              </w:rPr>
            </w:pPr>
          </w:p>
        </w:tc>
      </w:tr>
      <w:tr w14:paraId="2776CA02">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256CF404">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63DD8F04">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w:t>
            </w:r>
            <w:r>
              <w:rPr>
                <w:rFonts w:ascii="Times New Roman" w:hAnsi="Times New Roman" w:eastAsia="宋体" w:cs="Times New Roman"/>
                <w:kern w:val="2"/>
                <w:sz w:val="24"/>
                <w:szCs w:val="24"/>
                <w:lang w:val="en-US" w:eastAsia="zh-CN" w:bidi="ar-SA"/>
              </w:rPr>
              <w:t>继电保护专业人员进行持证</w:t>
            </w:r>
            <w:r>
              <w:rPr>
                <w:rFonts w:hint="eastAsia" w:ascii="Times New Roman" w:hAnsi="Times New Roman" w:eastAsia="宋体" w:cs="Times New Roman"/>
                <w:kern w:val="2"/>
                <w:sz w:val="24"/>
                <w:szCs w:val="24"/>
                <w:lang w:val="en-US" w:eastAsia="zh-CN" w:bidi="ar-SA"/>
              </w:rPr>
              <w:t>与交流、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63237023">
            <w:pPr>
              <w:numPr>
                <w:ilvl w:val="0"/>
                <w:numId w:val="27"/>
              </w:numPr>
              <w:ind w:left="360" w:hanging="360"/>
              <w:rPr>
                <w:rFonts w:hint="eastAsia"/>
                <w:sz w:val="24"/>
              </w:rPr>
            </w:pPr>
            <w:r>
              <w:rPr>
                <w:rFonts w:hint="eastAsia"/>
                <w:sz w:val="24"/>
              </w:rPr>
              <w:t>每年至少组织</w:t>
            </w:r>
            <w:r>
              <w:rPr>
                <w:sz w:val="24"/>
              </w:rPr>
              <w:t>甲方</w:t>
            </w:r>
            <w:r>
              <w:rPr>
                <w:rFonts w:hint="eastAsia"/>
                <w:sz w:val="24"/>
              </w:rPr>
              <w:t>继电保护监督人员对国家或行业新</w:t>
            </w:r>
            <w:r>
              <w:rPr>
                <w:sz w:val="24"/>
              </w:rPr>
              <w:t>规程、规范学习应用；试验方法、技能培训</w:t>
            </w:r>
            <w:r>
              <w:rPr>
                <w:rFonts w:hint="eastAsia"/>
                <w:sz w:val="24"/>
              </w:rPr>
              <w:t>1次。</w:t>
            </w:r>
          </w:p>
          <w:p w14:paraId="2F6AAF81">
            <w:pPr>
              <w:numPr>
                <w:ilvl w:val="0"/>
                <w:numId w:val="27"/>
              </w:numPr>
              <w:ind w:left="360" w:hanging="360"/>
              <w:rPr>
                <w:rFonts w:hint="eastAsia"/>
                <w:sz w:val="24"/>
              </w:rPr>
            </w:pPr>
            <w:r>
              <w:rPr>
                <w:sz w:val="24"/>
              </w:rPr>
              <w:t>培训方式：培训班、现场培训、现场技术指导、现场专题技术分析</w:t>
            </w:r>
            <w:r>
              <w:rPr>
                <w:rFonts w:hint="eastAsia"/>
                <w:sz w:val="24"/>
              </w:rPr>
              <w:t>等。</w:t>
            </w:r>
          </w:p>
          <w:p w14:paraId="68D8ED3B">
            <w:pPr>
              <w:numPr>
                <w:ilvl w:val="0"/>
                <w:numId w:val="27"/>
              </w:numPr>
              <w:ind w:left="360" w:hanging="360"/>
              <w:rPr>
                <w:rFonts w:hint="eastAsia"/>
                <w:sz w:val="24"/>
              </w:rPr>
            </w:pPr>
            <w:r>
              <w:rPr>
                <w:rFonts w:hint="eastAsia" w:ascii="宋体" w:hAnsi="宋体"/>
                <w:sz w:val="24"/>
              </w:rPr>
              <w:t>每年至少提供继电保护有关技术情报、最新行业技术标准、新工艺等方面信息1批次。</w:t>
            </w:r>
          </w:p>
        </w:tc>
        <w:tc>
          <w:tcPr>
            <w:tcW w:w="2700" w:type="dxa"/>
            <w:tcBorders>
              <w:top w:val="nil"/>
              <w:left w:val="nil"/>
              <w:bottom w:val="single" w:color="auto" w:sz="4" w:space="0"/>
              <w:right w:val="single" w:color="auto" w:sz="4" w:space="0"/>
            </w:tcBorders>
            <w:noWrap w:val="0"/>
            <w:vAlign w:val="top"/>
          </w:tcPr>
          <w:p w14:paraId="6E395CB6">
            <w:pPr>
              <w:rPr>
                <w:sz w:val="24"/>
              </w:rPr>
            </w:pPr>
          </w:p>
        </w:tc>
      </w:tr>
      <w:tr w14:paraId="7504C511">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E9D3055">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2AF76081">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w:t>
            </w:r>
            <w:r>
              <w:rPr>
                <w:rFonts w:hint="eastAsia" w:ascii="Times New Roman" w:hAnsi="Times New Roman" w:eastAsia="宋体" w:cs="Times New Roman"/>
                <w:kern w:val="2"/>
                <w:sz w:val="24"/>
                <w:szCs w:val="24"/>
                <w:lang w:val="en-US" w:eastAsia="zh-CN" w:bidi="ar-SA"/>
              </w:rPr>
              <w:t>督</w:t>
            </w:r>
            <w:r>
              <w:rPr>
                <w:rFonts w:ascii="Times New Roman" w:hAnsi="Times New Roman" w:eastAsia="宋体" w:cs="Times New Roman"/>
                <w:kern w:val="2"/>
                <w:sz w:val="24"/>
                <w:szCs w:val="24"/>
                <w:lang w:val="en-US" w:eastAsia="zh-CN" w:bidi="ar-SA"/>
              </w:rPr>
              <w:t>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69D53818">
            <w:pPr>
              <w:numPr>
                <w:ilvl w:val="0"/>
                <w:numId w:val="28"/>
              </w:numPr>
              <w:ind w:left="360" w:hanging="360"/>
              <w:rPr>
                <w:rFonts w:hint="eastAsia"/>
                <w:sz w:val="24"/>
              </w:rPr>
            </w:pPr>
            <w:r>
              <w:rPr>
                <w:sz w:val="24"/>
              </w:rPr>
              <w:t>现场检查运行日志、试验报告、缺陷处理、继电保护</w:t>
            </w:r>
            <w:r>
              <w:rPr>
                <w:rFonts w:hint="eastAsia"/>
                <w:sz w:val="24"/>
              </w:rPr>
              <w:t>监督</w:t>
            </w:r>
            <w:r>
              <w:rPr>
                <w:sz w:val="24"/>
              </w:rPr>
              <w:t>规程执行情况</w:t>
            </w:r>
            <w:r>
              <w:rPr>
                <w:rFonts w:hint="eastAsia"/>
                <w:sz w:val="24"/>
              </w:rPr>
              <w:t>。</w:t>
            </w:r>
          </w:p>
          <w:p w14:paraId="355E92BC">
            <w:pPr>
              <w:numPr>
                <w:ilvl w:val="0"/>
                <w:numId w:val="28"/>
              </w:numPr>
              <w:ind w:left="360" w:hanging="360"/>
              <w:rPr>
                <w:rFonts w:hint="eastAsia"/>
                <w:sz w:val="24"/>
              </w:rPr>
            </w:pPr>
            <w:r>
              <w:rPr>
                <w:rFonts w:hint="eastAsia" w:ascii="宋体" w:hAnsi="宋体"/>
                <w:sz w:val="24"/>
              </w:rPr>
              <w:t>检查工作完成后及时与甲方继电保护技术监督管理人员进行沟通汇报，并在15个工作日内提交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660306FB">
            <w:pPr>
              <w:rPr>
                <w:rFonts w:hint="eastAsia"/>
                <w:sz w:val="24"/>
              </w:rPr>
            </w:pPr>
            <w:r>
              <w:rPr>
                <w:sz w:val="24"/>
              </w:rPr>
              <w:t>现场检查不少于3天</w:t>
            </w:r>
            <w:r>
              <w:rPr>
                <w:rFonts w:hint="eastAsia"/>
                <w:sz w:val="24"/>
              </w:rPr>
              <w:t>。</w:t>
            </w:r>
          </w:p>
        </w:tc>
      </w:tr>
      <w:tr w14:paraId="43A632F8">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3306DB13">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1B88F898">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663DF1C7">
            <w:pPr>
              <w:numPr>
                <w:ilvl w:val="0"/>
                <w:numId w:val="29"/>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2B31229B">
            <w:pPr>
              <w:numPr>
                <w:ilvl w:val="0"/>
                <w:numId w:val="29"/>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03B541F9">
            <w:pPr>
              <w:rPr>
                <w:rFonts w:hint="eastAsia"/>
                <w:sz w:val="24"/>
              </w:rPr>
            </w:pPr>
          </w:p>
        </w:tc>
      </w:tr>
    </w:tbl>
    <w:p w14:paraId="6F9F2528">
      <w:pPr>
        <w:jc w:val="left"/>
        <w:rPr>
          <w:rFonts w:hint="eastAsia"/>
        </w:rPr>
      </w:pPr>
    </w:p>
    <w:p w14:paraId="14E5C592">
      <w:pPr>
        <w:spacing w:before="187" w:line="360" w:lineRule="auto"/>
        <w:rPr>
          <w:rFonts w:hint="eastAsia"/>
          <w:b/>
          <w:sz w:val="24"/>
        </w:rPr>
      </w:pPr>
      <w:r>
        <w:rPr>
          <w:rFonts w:hint="eastAsia"/>
          <w:b/>
          <w:sz w:val="24"/>
        </w:rPr>
        <w:t>八、</w:t>
      </w:r>
      <w:r>
        <w:rPr>
          <w:b/>
          <w:sz w:val="24"/>
        </w:rPr>
        <w:t>专业：励磁</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0E7ABBE5">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08BDDAD">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36C16850">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3E1E9323">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2D990F11">
            <w:pPr>
              <w:jc w:val="center"/>
              <w:rPr>
                <w:rFonts w:eastAsia="黑体"/>
                <w:sz w:val="24"/>
              </w:rPr>
            </w:pPr>
            <w:r>
              <w:rPr>
                <w:rFonts w:eastAsia="黑体"/>
                <w:sz w:val="24"/>
              </w:rPr>
              <w:t>备注</w:t>
            </w:r>
          </w:p>
        </w:tc>
      </w:tr>
      <w:tr w14:paraId="20F42F97">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59B17678">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55EB0957">
            <w:pPr>
              <w:rPr>
                <w:rFonts w:hint="eastAsia"/>
                <w:sz w:val="24"/>
              </w:rPr>
            </w:pPr>
            <w:r>
              <w:rPr>
                <w:b/>
                <w:sz w:val="24"/>
              </w:rPr>
              <w:t>归口管理：</w:t>
            </w:r>
            <w:r>
              <w:rPr>
                <w:sz w:val="24"/>
              </w:rPr>
              <w:t>甲方发电机的励磁系统的技术状况、检修质量和运行的可靠性进行技术监</w:t>
            </w:r>
            <w:r>
              <w:rPr>
                <w:rFonts w:hint="eastAsia"/>
                <w:sz w:val="24"/>
              </w:rPr>
              <w:t>督管理。</w:t>
            </w:r>
          </w:p>
        </w:tc>
        <w:tc>
          <w:tcPr>
            <w:tcW w:w="5386" w:type="dxa"/>
            <w:tcBorders>
              <w:top w:val="nil"/>
              <w:left w:val="nil"/>
              <w:bottom w:val="single" w:color="auto" w:sz="4" w:space="0"/>
              <w:right w:val="single" w:color="auto" w:sz="4" w:space="0"/>
            </w:tcBorders>
            <w:noWrap w:val="0"/>
            <w:vAlign w:val="top"/>
          </w:tcPr>
          <w:p w14:paraId="5E0BFC88">
            <w:pPr>
              <w:numPr>
                <w:ilvl w:val="0"/>
                <w:numId w:val="30"/>
              </w:numPr>
              <w:ind w:left="360" w:hanging="360"/>
              <w:rPr>
                <w:sz w:val="24"/>
              </w:rPr>
            </w:pPr>
            <w:r>
              <w:rPr>
                <w:sz w:val="24"/>
              </w:rPr>
              <w:t>帮助和指导甲方按电力行业励磁监控规程结合甲方的要求建立励磁监控管理制度</w:t>
            </w:r>
            <w:r>
              <w:rPr>
                <w:rFonts w:hint="eastAsia"/>
                <w:sz w:val="24"/>
              </w:rPr>
              <w:t>，并</w:t>
            </w:r>
            <w:r>
              <w:rPr>
                <w:sz w:val="24"/>
              </w:rPr>
              <w:t>进行技术监</w:t>
            </w:r>
            <w:r>
              <w:rPr>
                <w:rFonts w:hint="eastAsia"/>
                <w:sz w:val="24"/>
              </w:rPr>
              <w:t>督</w:t>
            </w:r>
            <w:r>
              <w:rPr>
                <w:sz w:val="24"/>
              </w:rPr>
              <w:t>管理。</w:t>
            </w:r>
          </w:p>
        </w:tc>
        <w:tc>
          <w:tcPr>
            <w:tcW w:w="2700" w:type="dxa"/>
            <w:tcBorders>
              <w:top w:val="nil"/>
              <w:left w:val="nil"/>
              <w:bottom w:val="single" w:color="auto" w:sz="4" w:space="0"/>
              <w:right w:val="single" w:color="auto" w:sz="4" w:space="0"/>
            </w:tcBorders>
            <w:noWrap w:val="0"/>
            <w:vAlign w:val="top"/>
          </w:tcPr>
          <w:p w14:paraId="230EE6EB">
            <w:pPr>
              <w:rPr>
                <w:sz w:val="24"/>
              </w:rPr>
            </w:pPr>
          </w:p>
        </w:tc>
      </w:tr>
      <w:tr w14:paraId="5524138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9C6C7B9">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58F1C622">
            <w:pPr>
              <w:rPr>
                <w:sz w:val="24"/>
              </w:rPr>
            </w:pPr>
            <w:r>
              <w:rPr>
                <w:b/>
                <w:sz w:val="24"/>
              </w:rPr>
              <w:t>方案审查：</w:t>
            </w:r>
            <w:r>
              <w:rPr>
                <w:rFonts w:hint="eastAsia"/>
                <w:sz w:val="24"/>
              </w:rPr>
              <w:t>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tc>
        <w:tc>
          <w:tcPr>
            <w:tcW w:w="5386" w:type="dxa"/>
            <w:tcBorders>
              <w:top w:val="nil"/>
              <w:left w:val="nil"/>
              <w:bottom w:val="single" w:color="auto" w:sz="4" w:space="0"/>
              <w:right w:val="single" w:color="auto" w:sz="4" w:space="0"/>
            </w:tcBorders>
            <w:noWrap w:val="0"/>
            <w:vAlign w:val="center"/>
          </w:tcPr>
          <w:p w14:paraId="64E25571">
            <w:pPr>
              <w:numPr>
                <w:ilvl w:val="0"/>
                <w:numId w:val="31"/>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702C030D">
            <w:pPr>
              <w:numPr>
                <w:ilvl w:val="0"/>
                <w:numId w:val="31"/>
              </w:numPr>
              <w:ind w:left="360" w:hanging="360"/>
              <w:rPr>
                <w:rFonts w:hint="eastAsia"/>
                <w:sz w:val="24"/>
              </w:rPr>
            </w:pPr>
            <w:r>
              <w:rPr>
                <w:sz w:val="24"/>
              </w:rPr>
              <w:t>大小修</w:t>
            </w:r>
            <w:r>
              <w:rPr>
                <w:rFonts w:hint="eastAsia"/>
                <w:sz w:val="24"/>
              </w:rPr>
              <w:t>期间应派员对</w:t>
            </w:r>
            <w:r>
              <w:rPr>
                <w:sz w:val="24"/>
              </w:rPr>
              <w:t>励磁</w:t>
            </w:r>
            <w:r>
              <w:rPr>
                <w:rFonts w:hint="eastAsia"/>
                <w:sz w:val="24"/>
              </w:rPr>
              <w:t>技术监督进行技术指导，</w:t>
            </w:r>
            <w:r>
              <w:rPr>
                <w:sz w:val="24"/>
              </w:rPr>
              <w:t>发现问题</w:t>
            </w:r>
            <w:r>
              <w:rPr>
                <w:rFonts w:hint="eastAsia"/>
                <w:sz w:val="24"/>
              </w:rPr>
              <w:t>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1918E694">
            <w:pPr>
              <w:rPr>
                <w:sz w:val="24"/>
              </w:rPr>
            </w:pPr>
          </w:p>
        </w:tc>
      </w:tr>
      <w:tr w14:paraId="082825A2">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3ECFEDD">
            <w:pPr>
              <w:jc w:val="center"/>
              <w:rPr>
                <w:sz w:val="24"/>
              </w:rPr>
            </w:pPr>
            <w:r>
              <w:rPr>
                <w:sz w:val="24"/>
              </w:rPr>
              <w:t>3</w:t>
            </w:r>
          </w:p>
        </w:tc>
        <w:tc>
          <w:tcPr>
            <w:tcW w:w="5364" w:type="dxa"/>
            <w:tcBorders>
              <w:top w:val="nil"/>
              <w:left w:val="nil"/>
              <w:bottom w:val="single" w:color="auto" w:sz="4" w:space="0"/>
              <w:right w:val="single" w:color="auto" w:sz="4" w:space="0"/>
            </w:tcBorders>
            <w:noWrap w:val="0"/>
            <w:vAlign w:val="center"/>
          </w:tcPr>
          <w:p w14:paraId="054D5740">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w:t>
            </w:r>
            <w:r>
              <w:rPr>
                <w:rFonts w:ascii="Times New Roman" w:hAnsi="Times New Roman" w:eastAsia="宋体" w:cs="Times New Roman"/>
                <w:kern w:val="2"/>
                <w:sz w:val="24"/>
                <w:szCs w:val="24"/>
                <w:lang w:val="en-US" w:eastAsia="zh-CN" w:bidi="ar-SA"/>
              </w:rPr>
              <w:t>励磁专业人员进行</w:t>
            </w:r>
            <w:r>
              <w:rPr>
                <w:rFonts w:hint="eastAsia" w:ascii="Times New Roman" w:hAnsi="Times New Roman" w:eastAsia="宋体" w:cs="Times New Roman"/>
                <w:kern w:val="2"/>
                <w:sz w:val="24"/>
                <w:szCs w:val="24"/>
                <w:lang w:val="en-US" w:eastAsia="zh-CN" w:bidi="ar-SA"/>
              </w:rPr>
              <w:t>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202D6059">
            <w:pPr>
              <w:numPr>
                <w:ilvl w:val="0"/>
                <w:numId w:val="32"/>
              </w:numPr>
              <w:ind w:left="360" w:hanging="360"/>
              <w:rPr>
                <w:rFonts w:hint="eastAsia"/>
                <w:sz w:val="24"/>
              </w:rPr>
            </w:pPr>
            <w:r>
              <w:rPr>
                <w:rFonts w:hint="eastAsia"/>
                <w:sz w:val="24"/>
              </w:rPr>
              <w:t>每年至少组织</w:t>
            </w:r>
            <w:r>
              <w:rPr>
                <w:sz w:val="24"/>
              </w:rPr>
              <w:t>甲方励磁</w:t>
            </w:r>
            <w:r>
              <w:rPr>
                <w:rFonts w:hint="eastAsia"/>
                <w:sz w:val="24"/>
              </w:rPr>
              <w:t>监督人员对国家或行业新</w:t>
            </w:r>
            <w:r>
              <w:rPr>
                <w:sz w:val="24"/>
              </w:rPr>
              <w:t>规程、规范学习应用；试验方法、技能培训</w:t>
            </w:r>
            <w:r>
              <w:rPr>
                <w:rFonts w:hint="eastAsia"/>
                <w:sz w:val="24"/>
              </w:rPr>
              <w:t>1次。</w:t>
            </w:r>
          </w:p>
          <w:p w14:paraId="29BF8A16">
            <w:pPr>
              <w:numPr>
                <w:ilvl w:val="0"/>
                <w:numId w:val="32"/>
              </w:numPr>
              <w:ind w:left="360" w:hanging="360"/>
              <w:rPr>
                <w:rFonts w:hint="eastAsia"/>
                <w:sz w:val="24"/>
              </w:rPr>
            </w:pPr>
            <w:r>
              <w:rPr>
                <w:sz w:val="24"/>
              </w:rPr>
              <w:t>培训方式：培训班、现场培训、现场技术指导、现场专题技术分析</w:t>
            </w:r>
            <w:r>
              <w:rPr>
                <w:rFonts w:hint="eastAsia"/>
                <w:sz w:val="24"/>
              </w:rPr>
              <w:t>等。</w:t>
            </w:r>
          </w:p>
          <w:p w14:paraId="5F476654">
            <w:pPr>
              <w:numPr>
                <w:ilvl w:val="0"/>
                <w:numId w:val="32"/>
              </w:numPr>
              <w:ind w:left="360" w:hanging="360"/>
              <w:rPr>
                <w:rFonts w:hint="eastAsia"/>
                <w:sz w:val="24"/>
              </w:rPr>
            </w:pPr>
            <w:r>
              <w:rPr>
                <w:rFonts w:hint="eastAsia" w:ascii="宋体" w:hAnsi="宋体"/>
                <w:sz w:val="24"/>
              </w:rPr>
              <w:t>每年至少提供</w:t>
            </w:r>
            <w:r>
              <w:rPr>
                <w:sz w:val="24"/>
              </w:rPr>
              <w:t>励磁</w:t>
            </w:r>
            <w:r>
              <w:rPr>
                <w:rFonts w:hint="eastAsia" w:ascii="宋体" w:hAnsi="宋体"/>
                <w:sz w:val="24"/>
              </w:rPr>
              <w:t>有关技术情报、最新行业技术标准、新工艺等方面信息1批次。</w:t>
            </w:r>
          </w:p>
        </w:tc>
        <w:tc>
          <w:tcPr>
            <w:tcW w:w="2700" w:type="dxa"/>
            <w:tcBorders>
              <w:top w:val="nil"/>
              <w:left w:val="nil"/>
              <w:bottom w:val="single" w:color="auto" w:sz="4" w:space="0"/>
              <w:right w:val="single" w:color="auto" w:sz="4" w:space="0"/>
            </w:tcBorders>
            <w:noWrap w:val="0"/>
            <w:vAlign w:val="top"/>
          </w:tcPr>
          <w:p w14:paraId="60C383FB">
            <w:pPr>
              <w:rPr>
                <w:sz w:val="24"/>
              </w:rPr>
            </w:pPr>
          </w:p>
        </w:tc>
      </w:tr>
      <w:tr w14:paraId="4B5F7C52">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1E29A06B">
            <w:pPr>
              <w:jc w:val="center"/>
              <w:rPr>
                <w:sz w:val="24"/>
              </w:rPr>
            </w:pPr>
            <w:r>
              <w:rPr>
                <w:sz w:val="24"/>
              </w:rPr>
              <w:t>4</w:t>
            </w:r>
          </w:p>
        </w:tc>
        <w:tc>
          <w:tcPr>
            <w:tcW w:w="5364" w:type="dxa"/>
            <w:tcBorders>
              <w:top w:val="nil"/>
              <w:left w:val="nil"/>
              <w:bottom w:val="single" w:color="auto" w:sz="4" w:space="0"/>
              <w:right w:val="single" w:color="auto" w:sz="4" w:space="0"/>
            </w:tcBorders>
            <w:noWrap w:val="0"/>
            <w:vAlign w:val="center"/>
          </w:tcPr>
          <w:p w14:paraId="74325B24">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14569A14">
            <w:pPr>
              <w:numPr>
                <w:ilvl w:val="0"/>
                <w:numId w:val="33"/>
              </w:numPr>
              <w:ind w:left="360" w:hanging="360"/>
              <w:rPr>
                <w:rFonts w:hint="eastAsia"/>
                <w:sz w:val="24"/>
              </w:rPr>
            </w:pPr>
            <w:r>
              <w:rPr>
                <w:sz w:val="24"/>
              </w:rPr>
              <w:t>现场检查运行日志、试验报告、缺陷处理、</w:t>
            </w:r>
            <w:r>
              <w:rPr>
                <w:rFonts w:hint="eastAsia"/>
                <w:sz w:val="24"/>
              </w:rPr>
              <w:t>励磁专业</w:t>
            </w:r>
            <w:r>
              <w:rPr>
                <w:sz w:val="24"/>
              </w:rPr>
              <w:t>监</w:t>
            </w:r>
            <w:r>
              <w:rPr>
                <w:rFonts w:hint="eastAsia"/>
                <w:sz w:val="24"/>
              </w:rPr>
              <w:t>控</w:t>
            </w:r>
            <w:r>
              <w:rPr>
                <w:sz w:val="24"/>
              </w:rPr>
              <w:t>规程执行情况</w:t>
            </w:r>
            <w:r>
              <w:rPr>
                <w:rFonts w:hint="eastAsia"/>
                <w:sz w:val="24"/>
              </w:rPr>
              <w:t>。</w:t>
            </w:r>
          </w:p>
          <w:p w14:paraId="3167C859">
            <w:pPr>
              <w:numPr>
                <w:ilvl w:val="0"/>
                <w:numId w:val="33"/>
              </w:numPr>
              <w:ind w:left="360" w:hanging="360"/>
              <w:rPr>
                <w:rFonts w:hint="eastAsia"/>
                <w:sz w:val="24"/>
              </w:rPr>
            </w:pPr>
            <w:r>
              <w:rPr>
                <w:rFonts w:hint="eastAsia" w:ascii="宋体" w:hAnsi="宋体"/>
                <w:sz w:val="24"/>
              </w:rPr>
              <w:t>检查工作完成后及时与甲方</w:t>
            </w:r>
            <w:r>
              <w:rPr>
                <w:sz w:val="24"/>
              </w:rPr>
              <w:t>励磁</w:t>
            </w:r>
            <w:r>
              <w:rPr>
                <w:rFonts w:hint="eastAsia" w:ascii="宋体" w:hAnsi="宋体"/>
                <w:sz w:val="24"/>
              </w:rPr>
              <w:t>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5F5171E2">
            <w:pPr>
              <w:rPr>
                <w:rFonts w:hint="eastAsia"/>
                <w:sz w:val="24"/>
              </w:rPr>
            </w:pPr>
            <w:r>
              <w:rPr>
                <w:sz w:val="24"/>
              </w:rPr>
              <w:t>现场检查不少于3天</w:t>
            </w:r>
            <w:r>
              <w:rPr>
                <w:rFonts w:hint="eastAsia"/>
                <w:sz w:val="24"/>
              </w:rPr>
              <w:t>。</w:t>
            </w:r>
          </w:p>
        </w:tc>
      </w:tr>
      <w:tr w14:paraId="22E1B709">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1B4360C6">
            <w:pPr>
              <w:jc w:val="center"/>
              <w:rPr>
                <w:sz w:val="24"/>
              </w:rPr>
            </w:pPr>
            <w:r>
              <w:rPr>
                <w:sz w:val="24"/>
              </w:rPr>
              <w:t>5</w:t>
            </w:r>
          </w:p>
        </w:tc>
        <w:tc>
          <w:tcPr>
            <w:tcW w:w="5364" w:type="dxa"/>
            <w:tcBorders>
              <w:top w:val="single" w:color="auto" w:sz="4" w:space="0"/>
              <w:left w:val="nil"/>
              <w:bottom w:val="single" w:color="auto" w:sz="4" w:space="0"/>
              <w:right w:val="single" w:color="auto" w:sz="4" w:space="0"/>
            </w:tcBorders>
            <w:noWrap w:val="0"/>
            <w:vAlign w:val="center"/>
          </w:tcPr>
          <w:p w14:paraId="3DAFA4F5">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7F23842D">
            <w:pPr>
              <w:numPr>
                <w:ilvl w:val="0"/>
                <w:numId w:val="34"/>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5CD9FAE4">
            <w:pPr>
              <w:numPr>
                <w:ilvl w:val="0"/>
                <w:numId w:val="34"/>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069AE9B8">
            <w:pPr>
              <w:rPr>
                <w:rFonts w:hint="eastAsia"/>
                <w:sz w:val="24"/>
              </w:rPr>
            </w:pPr>
          </w:p>
        </w:tc>
      </w:tr>
    </w:tbl>
    <w:p w14:paraId="687A3BC1">
      <w:pPr>
        <w:jc w:val="left"/>
        <w:rPr>
          <w:rFonts w:hint="eastAsia"/>
        </w:rPr>
      </w:pPr>
    </w:p>
    <w:p w14:paraId="2606E7D7">
      <w:pPr>
        <w:spacing w:before="187" w:line="360" w:lineRule="auto"/>
        <w:rPr>
          <w:rFonts w:hint="eastAsia"/>
          <w:b/>
          <w:sz w:val="24"/>
        </w:rPr>
      </w:pPr>
      <w:r>
        <w:rPr>
          <w:rFonts w:hint="eastAsia"/>
          <w:b/>
          <w:sz w:val="24"/>
        </w:rPr>
        <w:t>九、</w:t>
      </w:r>
      <w:r>
        <w:rPr>
          <w:b/>
          <w:sz w:val="24"/>
        </w:rPr>
        <w:t>专业：电能质量</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59BD16B3">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049BCB8">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20DDA4F4">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1288B2AC">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70545DAB">
            <w:pPr>
              <w:jc w:val="center"/>
              <w:rPr>
                <w:rFonts w:eastAsia="黑体"/>
                <w:sz w:val="24"/>
              </w:rPr>
            </w:pPr>
            <w:r>
              <w:rPr>
                <w:rFonts w:eastAsia="黑体"/>
                <w:sz w:val="24"/>
              </w:rPr>
              <w:t>备注</w:t>
            </w:r>
          </w:p>
        </w:tc>
      </w:tr>
      <w:tr w14:paraId="04567FB9">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48D5A048">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5CE26E1A">
            <w:pPr>
              <w:rPr>
                <w:rFonts w:hint="eastAsia"/>
                <w:sz w:val="24"/>
              </w:rPr>
            </w:pPr>
            <w:r>
              <w:rPr>
                <w:b/>
                <w:sz w:val="24"/>
              </w:rPr>
              <w:t>归口管理：</w:t>
            </w:r>
            <w:r>
              <w:rPr>
                <w:sz w:val="24"/>
              </w:rPr>
              <w:t>对甲方电能质量进行技术监控</w:t>
            </w:r>
            <w:r>
              <w:rPr>
                <w:rFonts w:hint="eastAsia"/>
                <w:sz w:val="24"/>
              </w:rPr>
              <w:t>管理。</w:t>
            </w:r>
          </w:p>
        </w:tc>
        <w:tc>
          <w:tcPr>
            <w:tcW w:w="5386" w:type="dxa"/>
            <w:tcBorders>
              <w:top w:val="nil"/>
              <w:left w:val="nil"/>
              <w:bottom w:val="single" w:color="auto" w:sz="4" w:space="0"/>
              <w:right w:val="single" w:color="auto" w:sz="4" w:space="0"/>
            </w:tcBorders>
            <w:noWrap w:val="0"/>
            <w:vAlign w:val="top"/>
          </w:tcPr>
          <w:p w14:paraId="0E5F8C3F">
            <w:pPr>
              <w:numPr>
                <w:ilvl w:val="0"/>
                <w:numId w:val="35"/>
              </w:numPr>
              <w:ind w:left="420" w:hanging="420"/>
              <w:rPr>
                <w:sz w:val="24"/>
              </w:rPr>
            </w:pPr>
            <w:r>
              <w:rPr>
                <w:sz w:val="24"/>
              </w:rPr>
              <w:t xml:space="preserve">帮助和指导甲方按电力行业电能 </w:t>
            </w:r>
            <w:r>
              <w:rPr>
                <w:rFonts w:hint="eastAsia"/>
                <w:sz w:val="24"/>
              </w:rPr>
              <w:t>质量</w:t>
            </w:r>
            <w:r>
              <w:rPr>
                <w:sz w:val="24"/>
              </w:rPr>
              <w:t>监控规程结合甲方的要求建立电能</w:t>
            </w:r>
            <w:r>
              <w:rPr>
                <w:rFonts w:hint="eastAsia"/>
                <w:sz w:val="24"/>
              </w:rPr>
              <w:t>质量</w:t>
            </w:r>
            <w:r>
              <w:rPr>
                <w:sz w:val="24"/>
              </w:rPr>
              <w:t>监控管理制度</w:t>
            </w:r>
            <w:r>
              <w:rPr>
                <w:rFonts w:hint="eastAsia"/>
                <w:sz w:val="24"/>
              </w:rPr>
              <w:t>，并</w:t>
            </w:r>
            <w:r>
              <w:rPr>
                <w:sz w:val="24"/>
              </w:rPr>
              <w:t>进行技术监</w:t>
            </w:r>
            <w:r>
              <w:rPr>
                <w:rFonts w:hint="eastAsia"/>
                <w:sz w:val="24"/>
              </w:rPr>
              <w:t>督</w:t>
            </w:r>
            <w:r>
              <w:rPr>
                <w:sz w:val="24"/>
              </w:rPr>
              <w:t>管理。</w:t>
            </w:r>
          </w:p>
        </w:tc>
        <w:tc>
          <w:tcPr>
            <w:tcW w:w="2700" w:type="dxa"/>
            <w:tcBorders>
              <w:top w:val="nil"/>
              <w:left w:val="nil"/>
              <w:bottom w:val="single" w:color="auto" w:sz="4" w:space="0"/>
              <w:right w:val="single" w:color="auto" w:sz="4" w:space="0"/>
            </w:tcBorders>
            <w:noWrap w:val="0"/>
            <w:vAlign w:val="top"/>
          </w:tcPr>
          <w:p w14:paraId="041C5146">
            <w:pPr>
              <w:rPr>
                <w:sz w:val="24"/>
              </w:rPr>
            </w:pPr>
          </w:p>
        </w:tc>
      </w:tr>
      <w:tr w14:paraId="13621534">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3095FA86">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3279E0A8">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对电能</w:t>
            </w:r>
            <w:r>
              <w:rPr>
                <w:rFonts w:ascii="Times New Roman" w:hAnsi="Times New Roman" w:eastAsia="宋体" w:cs="Times New Roman"/>
                <w:kern w:val="2"/>
                <w:sz w:val="24"/>
                <w:szCs w:val="24"/>
                <w:lang w:val="en-US" w:eastAsia="zh-CN" w:bidi="ar-SA"/>
              </w:rPr>
              <w:t>专业人员进行持证和</w:t>
            </w:r>
            <w:r>
              <w:rPr>
                <w:rFonts w:hint="eastAsia" w:ascii="Times New Roman" w:hAnsi="Times New Roman" w:eastAsia="宋体" w:cs="Times New Roman"/>
                <w:kern w:val="2"/>
                <w:sz w:val="24"/>
                <w:szCs w:val="24"/>
                <w:lang w:val="en-US" w:eastAsia="zh-CN" w:bidi="ar-SA"/>
              </w:rPr>
              <w:t>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313B9E6A">
            <w:pPr>
              <w:numPr>
                <w:ilvl w:val="0"/>
                <w:numId w:val="36"/>
              </w:numPr>
              <w:ind w:left="420" w:hanging="420"/>
              <w:rPr>
                <w:rFonts w:hint="eastAsia"/>
                <w:sz w:val="24"/>
              </w:rPr>
            </w:pPr>
            <w:r>
              <w:rPr>
                <w:sz w:val="24"/>
              </w:rPr>
              <w:t>规程、规范学习应用；试验方法、技能培训</w:t>
            </w:r>
            <w:r>
              <w:rPr>
                <w:rFonts w:hint="eastAsia"/>
                <w:sz w:val="24"/>
              </w:rPr>
              <w:t>。</w:t>
            </w:r>
          </w:p>
          <w:p w14:paraId="3534B2A3">
            <w:pPr>
              <w:numPr>
                <w:ilvl w:val="0"/>
                <w:numId w:val="36"/>
              </w:numPr>
              <w:ind w:left="420" w:hanging="420"/>
              <w:rPr>
                <w:rFonts w:hint="eastAsia"/>
                <w:sz w:val="24"/>
              </w:rPr>
            </w:pPr>
            <w:r>
              <w:rPr>
                <w:sz w:val="24"/>
              </w:rPr>
              <w:t>培训方式：培训班、现场培训、现场技术指导、现场专题技术分析</w:t>
            </w:r>
            <w:r>
              <w:rPr>
                <w:rFonts w:hint="eastAsia"/>
                <w:sz w:val="24"/>
              </w:rPr>
              <w:t>等。</w:t>
            </w:r>
          </w:p>
          <w:p w14:paraId="452ADAE3">
            <w:pPr>
              <w:numPr>
                <w:ilvl w:val="0"/>
                <w:numId w:val="36"/>
              </w:numPr>
              <w:ind w:left="420" w:hanging="420"/>
              <w:rPr>
                <w:rFonts w:hint="eastAsia"/>
                <w:sz w:val="24"/>
              </w:rPr>
            </w:pPr>
            <w:r>
              <w:rPr>
                <w:rFonts w:hint="eastAsia" w:ascii="宋体" w:hAnsi="宋体"/>
                <w:sz w:val="24"/>
              </w:rPr>
              <w:t>每年至少提供</w:t>
            </w:r>
            <w:r>
              <w:rPr>
                <w:sz w:val="24"/>
              </w:rPr>
              <w:t>电能质量</w:t>
            </w:r>
            <w:r>
              <w:rPr>
                <w:rFonts w:hint="eastAsia"/>
                <w:sz w:val="24"/>
              </w:rPr>
              <w:t>监督</w:t>
            </w:r>
            <w:r>
              <w:rPr>
                <w:rFonts w:hint="eastAsia" w:ascii="宋体" w:hAnsi="宋体"/>
                <w:sz w:val="24"/>
              </w:rPr>
              <w:t>有关技术情报、最新行业技术标准、新工艺等方面信息1批次。</w:t>
            </w:r>
          </w:p>
        </w:tc>
        <w:tc>
          <w:tcPr>
            <w:tcW w:w="2700" w:type="dxa"/>
            <w:tcBorders>
              <w:top w:val="nil"/>
              <w:left w:val="nil"/>
              <w:bottom w:val="single" w:color="auto" w:sz="4" w:space="0"/>
              <w:right w:val="single" w:color="auto" w:sz="4" w:space="0"/>
            </w:tcBorders>
            <w:noWrap w:val="0"/>
            <w:vAlign w:val="top"/>
          </w:tcPr>
          <w:p w14:paraId="3ECAA977">
            <w:pPr>
              <w:rPr>
                <w:sz w:val="24"/>
              </w:rPr>
            </w:pPr>
          </w:p>
        </w:tc>
      </w:tr>
      <w:tr w14:paraId="1C11158D">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4956B9C">
            <w:pPr>
              <w:jc w:val="center"/>
              <w:rPr>
                <w:sz w:val="24"/>
              </w:rPr>
            </w:pPr>
            <w:r>
              <w:rPr>
                <w:sz w:val="24"/>
              </w:rPr>
              <w:t>3</w:t>
            </w:r>
          </w:p>
        </w:tc>
        <w:tc>
          <w:tcPr>
            <w:tcW w:w="5364" w:type="dxa"/>
            <w:tcBorders>
              <w:top w:val="nil"/>
              <w:left w:val="nil"/>
              <w:bottom w:val="single" w:color="auto" w:sz="4" w:space="0"/>
              <w:right w:val="single" w:color="auto" w:sz="4" w:space="0"/>
            </w:tcBorders>
            <w:noWrap w:val="0"/>
            <w:vAlign w:val="center"/>
          </w:tcPr>
          <w:p w14:paraId="702037A9">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w:t>
            </w:r>
            <w:r>
              <w:rPr>
                <w:rFonts w:hint="eastAsia" w:ascii="Times New Roman" w:hAnsi="Times New Roman" w:eastAsia="宋体" w:cs="Times New Roman"/>
                <w:kern w:val="2"/>
                <w:sz w:val="24"/>
                <w:szCs w:val="24"/>
                <w:lang w:val="en-US" w:eastAsia="zh-CN" w:bidi="ar-SA"/>
              </w:rPr>
              <w:t>督</w:t>
            </w:r>
            <w:r>
              <w:rPr>
                <w:rFonts w:ascii="Times New Roman" w:hAnsi="Times New Roman" w:eastAsia="宋体" w:cs="Times New Roman"/>
                <w:kern w:val="2"/>
                <w:sz w:val="24"/>
                <w:szCs w:val="24"/>
                <w:lang w:val="en-US" w:eastAsia="zh-CN" w:bidi="ar-SA"/>
              </w:rPr>
              <w:t>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61402D4B">
            <w:pPr>
              <w:numPr>
                <w:ilvl w:val="0"/>
                <w:numId w:val="37"/>
              </w:numPr>
              <w:ind w:left="420" w:hanging="420"/>
              <w:rPr>
                <w:rFonts w:hint="eastAsia"/>
                <w:sz w:val="24"/>
              </w:rPr>
            </w:pPr>
            <w:r>
              <w:rPr>
                <w:sz w:val="24"/>
              </w:rPr>
              <w:t>现场检查运行日志、试验报告、缺陷处理、</w:t>
            </w:r>
            <w:r>
              <w:rPr>
                <w:rFonts w:hint="eastAsia"/>
                <w:sz w:val="24"/>
              </w:rPr>
              <w:t>电能质量</w:t>
            </w:r>
            <w:r>
              <w:rPr>
                <w:sz w:val="24"/>
              </w:rPr>
              <w:t>监</w:t>
            </w:r>
            <w:r>
              <w:rPr>
                <w:rFonts w:hint="eastAsia"/>
                <w:sz w:val="24"/>
              </w:rPr>
              <w:t>控</w:t>
            </w:r>
            <w:r>
              <w:rPr>
                <w:sz w:val="24"/>
              </w:rPr>
              <w:t>规程执行情况</w:t>
            </w:r>
            <w:r>
              <w:rPr>
                <w:rFonts w:hint="eastAsia"/>
                <w:sz w:val="24"/>
              </w:rPr>
              <w:t>。</w:t>
            </w:r>
          </w:p>
          <w:p w14:paraId="6691B49E">
            <w:pPr>
              <w:numPr>
                <w:ilvl w:val="0"/>
                <w:numId w:val="37"/>
              </w:numPr>
              <w:ind w:left="420" w:hanging="420"/>
              <w:rPr>
                <w:rFonts w:hint="eastAsia"/>
                <w:sz w:val="24"/>
              </w:rPr>
            </w:pPr>
            <w:r>
              <w:rPr>
                <w:rFonts w:hint="eastAsia" w:ascii="宋体" w:hAnsi="宋体"/>
                <w:sz w:val="24"/>
              </w:rPr>
              <w:t>检查工作完成后及时与甲方</w:t>
            </w:r>
            <w:r>
              <w:rPr>
                <w:sz w:val="24"/>
              </w:rPr>
              <w:t>电能质量</w:t>
            </w:r>
            <w:r>
              <w:rPr>
                <w:rFonts w:hint="eastAsia" w:ascii="宋体" w:hAnsi="宋体"/>
                <w:sz w:val="24"/>
              </w:rPr>
              <w:t>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0F4E5F80">
            <w:pPr>
              <w:rPr>
                <w:rFonts w:hint="eastAsia"/>
                <w:sz w:val="24"/>
              </w:rPr>
            </w:pPr>
            <w:r>
              <w:rPr>
                <w:sz w:val="24"/>
              </w:rPr>
              <w:t>现场检查不少于3天</w:t>
            </w:r>
            <w:r>
              <w:rPr>
                <w:rFonts w:hint="eastAsia"/>
                <w:sz w:val="24"/>
              </w:rPr>
              <w:t>。</w:t>
            </w:r>
          </w:p>
        </w:tc>
      </w:tr>
      <w:tr w14:paraId="41C7C862">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30CF702E">
            <w:pPr>
              <w:jc w:val="center"/>
              <w:rPr>
                <w:sz w:val="24"/>
              </w:rPr>
            </w:pPr>
            <w:r>
              <w:rPr>
                <w:sz w:val="24"/>
              </w:rPr>
              <w:t>4</w:t>
            </w:r>
          </w:p>
        </w:tc>
        <w:tc>
          <w:tcPr>
            <w:tcW w:w="5364" w:type="dxa"/>
            <w:tcBorders>
              <w:top w:val="single" w:color="auto" w:sz="4" w:space="0"/>
              <w:left w:val="nil"/>
              <w:bottom w:val="single" w:color="auto" w:sz="4" w:space="0"/>
              <w:right w:val="single" w:color="auto" w:sz="4" w:space="0"/>
            </w:tcBorders>
            <w:noWrap w:val="0"/>
            <w:vAlign w:val="center"/>
          </w:tcPr>
          <w:p w14:paraId="05F3460A">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6801B01A">
            <w:pPr>
              <w:numPr>
                <w:ilvl w:val="0"/>
                <w:numId w:val="38"/>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48D9D4FA">
            <w:pPr>
              <w:numPr>
                <w:ilvl w:val="0"/>
                <w:numId w:val="38"/>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40841ACF">
            <w:pPr>
              <w:rPr>
                <w:rFonts w:hint="eastAsia"/>
                <w:sz w:val="24"/>
              </w:rPr>
            </w:pPr>
          </w:p>
        </w:tc>
      </w:tr>
    </w:tbl>
    <w:p w14:paraId="0E95C1B3">
      <w:pPr>
        <w:jc w:val="left"/>
      </w:pPr>
    </w:p>
    <w:p w14:paraId="04846407">
      <w:pPr>
        <w:jc w:val="left"/>
        <w:rPr>
          <w:rFonts w:hint="eastAsia"/>
        </w:rPr>
      </w:pPr>
    </w:p>
    <w:p w14:paraId="145F854C">
      <w:pPr>
        <w:jc w:val="left"/>
        <w:rPr>
          <w:b/>
          <w:sz w:val="24"/>
        </w:rPr>
      </w:pPr>
      <w:r>
        <w:rPr>
          <w:rFonts w:hint="eastAsia"/>
          <w:b/>
          <w:sz w:val="24"/>
        </w:rPr>
        <w:t>十、</w:t>
      </w:r>
      <w:r>
        <w:rPr>
          <w:b/>
          <w:sz w:val="24"/>
        </w:rPr>
        <w:t>专业：</w:t>
      </w:r>
      <w:r>
        <w:rPr>
          <w:b/>
          <w:bCs/>
          <w:sz w:val="24"/>
        </w:rPr>
        <w:t>汽机（含振动）</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0BC8A2A9">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FDC8835">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1BF55256">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51CDD268">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0AEF3DB6">
            <w:pPr>
              <w:jc w:val="center"/>
              <w:rPr>
                <w:rFonts w:eastAsia="黑体"/>
                <w:sz w:val="24"/>
              </w:rPr>
            </w:pPr>
            <w:r>
              <w:rPr>
                <w:rFonts w:eastAsia="黑体"/>
                <w:sz w:val="24"/>
              </w:rPr>
              <w:t>备注</w:t>
            </w:r>
          </w:p>
        </w:tc>
      </w:tr>
      <w:tr w14:paraId="351DD6C9">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3DE31E8A">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4BCEBCD1">
            <w:pPr>
              <w:rPr>
                <w:sz w:val="24"/>
              </w:rPr>
            </w:pPr>
            <w:r>
              <w:rPr>
                <w:b/>
                <w:sz w:val="24"/>
              </w:rPr>
              <w:t>归口管理：</w:t>
            </w:r>
            <w:r>
              <w:rPr>
                <w:sz w:val="24"/>
              </w:rPr>
              <w:t>甲方汽轮机本体、重要辅机及主要系统技术状况、运行可靠性及检验质量、汽轮机效率进行技术监控</w:t>
            </w:r>
            <w:r>
              <w:rPr>
                <w:rFonts w:hint="eastAsia"/>
                <w:sz w:val="24"/>
              </w:rPr>
              <w:t>管理</w:t>
            </w:r>
            <w:r>
              <w:rPr>
                <w:sz w:val="24"/>
              </w:rPr>
              <w:t>。</w:t>
            </w:r>
          </w:p>
        </w:tc>
        <w:tc>
          <w:tcPr>
            <w:tcW w:w="5386" w:type="dxa"/>
            <w:tcBorders>
              <w:top w:val="nil"/>
              <w:left w:val="nil"/>
              <w:bottom w:val="single" w:color="auto" w:sz="4" w:space="0"/>
              <w:right w:val="single" w:color="auto" w:sz="4" w:space="0"/>
            </w:tcBorders>
            <w:noWrap w:val="0"/>
            <w:vAlign w:val="top"/>
          </w:tcPr>
          <w:p w14:paraId="7D37ED76">
            <w:pPr>
              <w:numPr>
                <w:ilvl w:val="0"/>
                <w:numId w:val="39"/>
              </w:numPr>
              <w:ind w:left="360" w:hanging="360"/>
              <w:rPr>
                <w:rFonts w:hint="eastAsia"/>
                <w:sz w:val="24"/>
              </w:rPr>
            </w:pPr>
            <w:r>
              <w:rPr>
                <w:sz w:val="24"/>
              </w:rPr>
              <w:t>按</w:t>
            </w:r>
            <w:r>
              <w:rPr>
                <w:rFonts w:hint="eastAsia"/>
                <w:sz w:val="24"/>
              </w:rPr>
              <w:t>《广西电力技术专业监控考核办法》</w:t>
            </w:r>
            <w:r>
              <w:rPr>
                <w:sz w:val="24"/>
              </w:rPr>
              <w:t>及电力行业汽机 监控规程进行技术监控管理。</w:t>
            </w:r>
          </w:p>
          <w:p w14:paraId="40023B0E">
            <w:pPr>
              <w:numPr>
                <w:ilvl w:val="0"/>
                <w:numId w:val="39"/>
              </w:numPr>
              <w:ind w:left="360" w:hanging="360"/>
              <w:rPr>
                <w:sz w:val="24"/>
              </w:rPr>
            </w:pPr>
            <w:r>
              <w:rPr>
                <w:rFonts w:hint="eastAsia"/>
                <w:sz w:val="24"/>
              </w:rPr>
              <w:t>检查、指导甲方开展汽机技术监督管理工作。协助解决汽机技术监督方面存在的问题。</w:t>
            </w:r>
          </w:p>
        </w:tc>
        <w:tc>
          <w:tcPr>
            <w:tcW w:w="2700" w:type="dxa"/>
            <w:tcBorders>
              <w:top w:val="nil"/>
              <w:left w:val="nil"/>
              <w:bottom w:val="single" w:color="auto" w:sz="4" w:space="0"/>
              <w:right w:val="single" w:color="auto" w:sz="4" w:space="0"/>
            </w:tcBorders>
            <w:noWrap w:val="0"/>
            <w:vAlign w:val="top"/>
          </w:tcPr>
          <w:p w14:paraId="39609ACD">
            <w:pPr>
              <w:rPr>
                <w:sz w:val="24"/>
              </w:rPr>
            </w:pPr>
          </w:p>
        </w:tc>
      </w:tr>
      <w:tr w14:paraId="757E3129">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2A8D438">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7CF7BD8C">
            <w:pPr>
              <w:rPr>
                <w:rFonts w:hint="eastAsia"/>
                <w:sz w:val="24"/>
              </w:rPr>
            </w:pPr>
            <w:r>
              <w:rPr>
                <w:b/>
                <w:sz w:val="24"/>
              </w:rPr>
              <w:t>方案审核：</w:t>
            </w:r>
            <w:r>
              <w:rPr>
                <w:rFonts w:hint="eastAsia"/>
                <w:sz w:val="24"/>
              </w:rPr>
              <w:t>1、对送达的设备</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p w14:paraId="57578D34">
            <w:pPr>
              <w:rPr>
                <w:rFonts w:hint="eastAsia"/>
                <w:sz w:val="24"/>
              </w:rPr>
            </w:pPr>
            <w:r>
              <w:rPr>
                <w:rFonts w:hint="eastAsia"/>
                <w:sz w:val="24"/>
              </w:rPr>
              <w:t>2、协助电厂对汽轮机组设备和系统进行技术改造，为改造方案的制定提供建议；</w:t>
            </w:r>
          </w:p>
          <w:p w14:paraId="706C66BB">
            <w:pPr>
              <w:rPr>
                <w:rFonts w:hint="eastAsia" w:ascii="宋体" w:hAnsi="宋体"/>
              </w:rPr>
            </w:pPr>
            <w:r>
              <w:rPr>
                <w:rFonts w:hint="eastAsia"/>
                <w:sz w:val="24"/>
              </w:rPr>
              <w:t>3、协助电厂对汽轮机和辅机的新建、扩建、改建项目进行可行性研究、审查和调研。</w:t>
            </w:r>
          </w:p>
        </w:tc>
        <w:tc>
          <w:tcPr>
            <w:tcW w:w="5386" w:type="dxa"/>
            <w:tcBorders>
              <w:top w:val="nil"/>
              <w:left w:val="nil"/>
              <w:bottom w:val="single" w:color="auto" w:sz="4" w:space="0"/>
              <w:right w:val="single" w:color="auto" w:sz="4" w:space="0"/>
            </w:tcBorders>
            <w:noWrap w:val="0"/>
            <w:vAlign w:val="center"/>
          </w:tcPr>
          <w:p w14:paraId="0AD20FEF">
            <w:pPr>
              <w:numPr>
                <w:ilvl w:val="0"/>
                <w:numId w:val="40"/>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71532BCA">
            <w:pPr>
              <w:numPr>
                <w:ilvl w:val="0"/>
                <w:numId w:val="40"/>
              </w:numPr>
              <w:ind w:left="360" w:hanging="360"/>
              <w:rPr>
                <w:rFonts w:hint="eastAsia"/>
                <w:sz w:val="24"/>
              </w:rPr>
            </w:pPr>
            <w:r>
              <w:rPr>
                <w:sz w:val="24"/>
              </w:rPr>
              <w:t>大小修</w:t>
            </w:r>
            <w:r>
              <w:rPr>
                <w:rFonts w:hint="eastAsia"/>
                <w:sz w:val="24"/>
              </w:rPr>
              <w:t>期间应派员对汽机技术监督进行技术指导，</w:t>
            </w:r>
            <w:r>
              <w:rPr>
                <w:sz w:val="24"/>
              </w:rPr>
              <w:t>发现问题</w:t>
            </w:r>
            <w:r>
              <w:rPr>
                <w:rFonts w:hint="eastAsia"/>
                <w:sz w:val="24"/>
              </w:rPr>
              <w:t>时</w:t>
            </w:r>
            <w:r>
              <w:rPr>
                <w:sz w:val="24"/>
              </w:rPr>
              <w:t>提出处理建议或方案</w:t>
            </w:r>
            <w:r>
              <w:rPr>
                <w:rFonts w:hint="eastAsia"/>
                <w:sz w:val="24"/>
              </w:rPr>
              <w:t>。</w:t>
            </w:r>
          </w:p>
          <w:p w14:paraId="24117AC8">
            <w:pPr>
              <w:numPr>
                <w:ilvl w:val="0"/>
                <w:numId w:val="40"/>
              </w:numPr>
              <w:ind w:left="360" w:hanging="360"/>
              <w:rPr>
                <w:rFonts w:hint="eastAsia"/>
                <w:sz w:val="24"/>
              </w:rPr>
            </w:pPr>
            <w:r>
              <w:rPr>
                <w:sz w:val="24"/>
              </w:rPr>
              <w:t>甲方</w:t>
            </w:r>
            <w:r>
              <w:rPr>
                <w:rFonts w:hint="eastAsia"/>
                <w:sz w:val="24"/>
              </w:rPr>
              <w:t>在检修过程中发现缺陷等问题通知</w:t>
            </w:r>
            <w:r>
              <w:rPr>
                <w:sz w:val="24"/>
              </w:rPr>
              <w:t>乙方</w:t>
            </w:r>
            <w:r>
              <w:rPr>
                <w:rFonts w:hint="eastAsia"/>
                <w:sz w:val="24"/>
              </w:rPr>
              <w:t>派技术员至现场指导时，乙方应按甲方提出的项目及时间要求到达检修现场指导，并</w:t>
            </w:r>
            <w:r>
              <w:rPr>
                <w:sz w:val="24"/>
              </w:rPr>
              <w:t>提出处理建议或方案</w:t>
            </w:r>
            <w:r>
              <w:rPr>
                <w:rFonts w:hint="eastAsia"/>
                <w:sz w:val="24"/>
              </w:rPr>
              <w:t>。</w:t>
            </w:r>
          </w:p>
          <w:p w14:paraId="74C083BA">
            <w:pPr>
              <w:numPr>
                <w:ilvl w:val="0"/>
                <w:numId w:val="40"/>
              </w:numPr>
              <w:ind w:left="360" w:hanging="360"/>
              <w:rPr>
                <w:rFonts w:hint="eastAsia"/>
                <w:sz w:val="24"/>
              </w:rPr>
            </w:pPr>
            <w:r>
              <w:rPr>
                <w:rFonts w:hint="eastAsia"/>
                <w:sz w:val="24"/>
              </w:rPr>
              <w:t>对相关建议提出书面报告。</w:t>
            </w:r>
          </w:p>
        </w:tc>
        <w:tc>
          <w:tcPr>
            <w:tcW w:w="2700" w:type="dxa"/>
            <w:tcBorders>
              <w:top w:val="nil"/>
              <w:left w:val="nil"/>
              <w:bottom w:val="single" w:color="auto" w:sz="4" w:space="0"/>
              <w:right w:val="single" w:color="auto" w:sz="4" w:space="0"/>
            </w:tcBorders>
            <w:noWrap w:val="0"/>
            <w:vAlign w:val="top"/>
          </w:tcPr>
          <w:p w14:paraId="4F49F7B3">
            <w:pPr>
              <w:rPr>
                <w:sz w:val="24"/>
              </w:rPr>
            </w:pPr>
          </w:p>
        </w:tc>
      </w:tr>
      <w:tr w14:paraId="5C841F8A">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2FDDF69">
            <w:pPr>
              <w:jc w:val="center"/>
              <w:rPr>
                <w:sz w:val="24"/>
              </w:rPr>
            </w:pPr>
            <w:r>
              <w:rPr>
                <w:sz w:val="24"/>
              </w:rPr>
              <w:t>3</w:t>
            </w:r>
          </w:p>
        </w:tc>
        <w:tc>
          <w:tcPr>
            <w:tcW w:w="5364" w:type="dxa"/>
            <w:tcBorders>
              <w:top w:val="nil"/>
              <w:left w:val="nil"/>
              <w:bottom w:val="single" w:color="auto" w:sz="4" w:space="0"/>
              <w:right w:val="single" w:color="auto" w:sz="4" w:space="0"/>
            </w:tcBorders>
            <w:noWrap w:val="0"/>
            <w:vAlign w:val="center"/>
          </w:tcPr>
          <w:p w14:paraId="72EF2ECE">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1、对</w:t>
            </w:r>
            <w:r>
              <w:rPr>
                <w:rFonts w:ascii="Times New Roman" w:hAnsi="Times New Roman" w:eastAsia="宋体" w:cs="Times New Roman"/>
                <w:kern w:val="2"/>
                <w:sz w:val="24"/>
                <w:szCs w:val="24"/>
                <w:lang w:val="en-US" w:eastAsia="zh-CN" w:bidi="ar-SA"/>
              </w:rPr>
              <w:t>汽机专业人员</w:t>
            </w:r>
            <w:r>
              <w:rPr>
                <w:rFonts w:hint="eastAsia" w:ascii="Times New Roman" w:hAnsi="Times New Roman" w:eastAsia="宋体" w:cs="Times New Roman"/>
                <w:kern w:val="2"/>
                <w:sz w:val="24"/>
                <w:szCs w:val="24"/>
                <w:lang w:val="en-US" w:eastAsia="zh-CN" w:bidi="ar-SA"/>
              </w:rPr>
              <w:t>进行交流、</w:t>
            </w:r>
            <w:r>
              <w:rPr>
                <w:rFonts w:ascii="Times New Roman" w:hAnsi="Times New Roman" w:eastAsia="宋体" w:cs="Times New Roman"/>
                <w:kern w:val="2"/>
                <w:sz w:val="24"/>
                <w:szCs w:val="24"/>
                <w:lang w:val="en-US" w:eastAsia="zh-CN" w:bidi="ar-SA"/>
              </w:rPr>
              <w:t>培训</w:t>
            </w:r>
            <w:r>
              <w:rPr>
                <w:rFonts w:hint="eastAsia" w:ascii="Times New Roman" w:hAnsi="Times New Roman" w:eastAsia="宋体" w:cs="Times New Roman"/>
                <w:kern w:val="2"/>
                <w:sz w:val="24"/>
                <w:szCs w:val="24"/>
                <w:lang w:val="en-US" w:eastAsia="zh-CN" w:bidi="ar-SA"/>
              </w:rPr>
              <w:t>。</w:t>
            </w:r>
          </w:p>
          <w:p w14:paraId="05805955">
            <w:pPr>
              <w:rPr>
                <w:rFonts w:hint="eastAsia"/>
              </w:rPr>
            </w:pPr>
            <w:r>
              <w:rPr>
                <w:rFonts w:hint="eastAsia"/>
                <w:sz w:val="24"/>
              </w:rPr>
              <w:t>2、协助甲方进行新技术开发和推广工作，及时提供有关节能、汽轮机方面的技术资料、上级文件等。</w:t>
            </w:r>
          </w:p>
        </w:tc>
        <w:tc>
          <w:tcPr>
            <w:tcW w:w="5386" w:type="dxa"/>
            <w:tcBorders>
              <w:top w:val="nil"/>
              <w:left w:val="nil"/>
              <w:bottom w:val="single" w:color="auto" w:sz="4" w:space="0"/>
              <w:right w:val="single" w:color="auto" w:sz="4" w:space="0"/>
            </w:tcBorders>
            <w:noWrap w:val="0"/>
            <w:vAlign w:val="top"/>
          </w:tcPr>
          <w:p w14:paraId="10DC38AA">
            <w:pPr>
              <w:numPr>
                <w:ilvl w:val="0"/>
                <w:numId w:val="41"/>
              </w:numPr>
              <w:ind w:left="360" w:hanging="360"/>
              <w:rPr>
                <w:rFonts w:hint="eastAsia"/>
                <w:sz w:val="24"/>
              </w:rPr>
            </w:pPr>
            <w:r>
              <w:rPr>
                <w:rFonts w:hint="eastAsia"/>
                <w:sz w:val="24"/>
              </w:rPr>
              <w:t>每年至少组织</w:t>
            </w:r>
            <w:r>
              <w:rPr>
                <w:sz w:val="24"/>
              </w:rPr>
              <w:t>甲方</w:t>
            </w:r>
            <w:r>
              <w:rPr>
                <w:rFonts w:hint="eastAsia"/>
                <w:sz w:val="24"/>
              </w:rPr>
              <w:t>汽机监督人员对国家或行业新</w:t>
            </w:r>
            <w:r>
              <w:rPr>
                <w:sz w:val="24"/>
              </w:rPr>
              <w:t>规程、规范学习应用；试验方法、技能培训</w:t>
            </w:r>
            <w:r>
              <w:rPr>
                <w:rFonts w:hint="eastAsia"/>
                <w:sz w:val="24"/>
              </w:rPr>
              <w:t>1次。</w:t>
            </w:r>
          </w:p>
          <w:p w14:paraId="73CDAA67">
            <w:pPr>
              <w:numPr>
                <w:ilvl w:val="0"/>
                <w:numId w:val="41"/>
              </w:numPr>
              <w:ind w:left="360" w:hanging="360"/>
              <w:rPr>
                <w:rFonts w:hint="eastAsia"/>
                <w:sz w:val="24"/>
              </w:rPr>
            </w:pPr>
            <w:r>
              <w:rPr>
                <w:sz w:val="24"/>
              </w:rPr>
              <w:t>培训方式：培训班、现场培训、现场技术指导、现场专题技术分析</w:t>
            </w:r>
            <w:r>
              <w:rPr>
                <w:rFonts w:hint="eastAsia"/>
                <w:sz w:val="24"/>
              </w:rPr>
              <w:t>等。</w:t>
            </w:r>
          </w:p>
          <w:p w14:paraId="13CA7632">
            <w:pPr>
              <w:numPr>
                <w:ilvl w:val="0"/>
                <w:numId w:val="41"/>
              </w:numPr>
              <w:ind w:left="360" w:hanging="360"/>
              <w:rPr>
                <w:rFonts w:hint="eastAsia"/>
                <w:sz w:val="24"/>
              </w:rPr>
            </w:pPr>
            <w:r>
              <w:rPr>
                <w:rFonts w:hint="eastAsia"/>
                <w:sz w:val="24"/>
              </w:rPr>
              <w:t>每年至少提供汽机有关技术情报、最新行业技术标准、新工艺等方面信息1批次。</w:t>
            </w:r>
          </w:p>
          <w:p w14:paraId="3B212806">
            <w:pPr>
              <w:numPr>
                <w:ilvl w:val="0"/>
                <w:numId w:val="41"/>
              </w:numPr>
              <w:ind w:left="360" w:hanging="360"/>
              <w:rPr>
                <w:rFonts w:hint="eastAsia"/>
                <w:sz w:val="24"/>
              </w:rPr>
            </w:pPr>
            <w:r>
              <w:rPr>
                <w:rFonts w:hint="eastAsia"/>
                <w:sz w:val="24"/>
              </w:rPr>
              <w:t>按有关规程要求，提供技术咨询</w:t>
            </w:r>
          </w:p>
        </w:tc>
        <w:tc>
          <w:tcPr>
            <w:tcW w:w="2700" w:type="dxa"/>
            <w:tcBorders>
              <w:top w:val="nil"/>
              <w:left w:val="nil"/>
              <w:bottom w:val="single" w:color="auto" w:sz="4" w:space="0"/>
              <w:right w:val="single" w:color="auto" w:sz="4" w:space="0"/>
            </w:tcBorders>
            <w:noWrap w:val="0"/>
            <w:vAlign w:val="top"/>
          </w:tcPr>
          <w:p w14:paraId="7196966D">
            <w:pPr>
              <w:rPr>
                <w:sz w:val="24"/>
              </w:rPr>
            </w:pPr>
            <w:r>
              <w:rPr>
                <w:sz w:val="24"/>
              </w:rPr>
              <w:t>具体内容建议由电厂先提出</w:t>
            </w:r>
            <w:r>
              <w:rPr>
                <w:rFonts w:hint="eastAsia"/>
                <w:sz w:val="24"/>
              </w:rPr>
              <w:t>。</w:t>
            </w:r>
            <w:r>
              <w:rPr>
                <w:sz w:val="24"/>
              </w:rPr>
              <w:t xml:space="preserve"> </w:t>
            </w:r>
          </w:p>
        </w:tc>
      </w:tr>
      <w:tr w14:paraId="447F2D9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88D6CB1">
            <w:pPr>
              <w:jc w:val="center"/>
              <w:rPr>
                <w:sz w:val="24"/>
              </w:rPr>
            </w:pPr>
            <w:r>
              <w:rPr>
                <w:sz w:val="24"/>
              </w:rPr>
              <w:t>4</w:t>
            </w:r>
          </w:p>
        </w:tc>
        <w:tc>
          <w:tcPr>
            <w:tcW w:w="5364" w:type="dxa"/>
            <w:tcBorders>
              <w:top w:val="nil"/>
              <w:left w:val="nil"/>
              <w:bottom w:val="single" w:color="auto" w:sz="4" w:space="0"/>
              <w:right w:val="single" w:color="auto" w:sz="4" w:space="0"/>
            </w:tcBorders>
            <w:noWrap w:val="0"/>
            <w:vAlign w:val="center"/>
          </w:tcPr>
          <w:p w14:paraId="1B3C1B2A">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6424DAB5">
            <w:pPr>
              <w:numPr>
                <w:ilvl w:val="0"/>
                <w:numId w:val="42"/>
              </w:numPr>
              <w:ind w:left="360" w:hanging="360"/>
              <w:rPr>
                <w:rFonts w:hint="eastAsia"/>
                <w:sz w:val="24"/>
              </w:rPr>
            </w:pPr>
            <w:r>
              <w:rPr>
                <w:sz w:val="24"/>
              </w:rPr>
              <w:t>现场检查运行日志、试验报告、缺陷处理、</w:t>
            </w:r>
            <w:r>
              <w:rPr>
                <w:rFonts w:hint="eastAsia"/>
                <w:sz w:val="24"/>
              </w:rPr>
              <w:t>汽轮机</w:t>
            </w:r>
            <w:r>
              <w:rPr>
                <w:sz w:val="24"/>
              </w:rPr>
              <w:t>监</w:t>
            </w:r>
            <w:r>
              <w:rPr>
                <w:rFonts w:hint="eastAsia"/>
                <w:sz w:val="24"/>
              </w:rPr>
              <w:t>控</w:t>
            </w:r>
            <w:r>
              <w:rPr>
                <w:sz w:val="24"/>
              </w:rPr>
              <w:t>规程执行情况</w:t>
            </w:r>
            <w:r>
              <w:rPr>
                <w:rFonts w:hint="eastAsia"/>
                <w:sz w:val="24"/>
              </w:rPr>
              <w:t>。</w:t>
            </w:r>
          </w:p>
          <w:p w14:paraId="331E0E92">
            <w:pPr>
              <w:numPr>
                <w:ilvl w:val="0"/>
                <w:numId w:val="42"/>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3EF4F6A1">
            <w:pPr>
              <w:rPr>
                <w:rFonts w:hint="eastAsia"/>
                <w:sz w:val="24"/>
              </w:rPr>
            </w:pPr>
            <w:r>
              <w:rPr>
                <w:sz w:val="24"/>
              </w:rPr>
              <w:t>现场检查不少于3天</w:t>
            </w:r>
            <w:r>
              <w:rPr>
                <w:rFonts w:hint="eastAsia"/>
                <w:sz w:val="24"/>
              </w:rPr>
              <w:t>。</w:t>
            </w:r>
          </w:p>
        </w:tc>
      </w:tr>
      <w:tr w14:paraId="1AF3B899">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5D6733E1">
            <w:pPr>
              <w:jc w:val="center"/>
              <w:rPr>
                <w:sz w:val="24"/>
              </w:rPr>
            </w:pPr>
            <w:r>
              <w:rPr>
                <w:sz w:val="24"/>
              </w:rPr>
              <w:t>5</w:t>
            </w:r>
          </w:p>
        </w:tc>
        <w:tc>
          <w:tcPr>
            <w:tcW w:w="5364" w:type="dxa"/>
            <w:tcBorders>
              <w:top w:val="single" w:color="auto" w:sz="4" w:space="0"/>
              <w:left w:val="nil"/>
              <w:bottom w:val="single" w:color="auto" w:sz="4" w:space="0"/>
              <w:right w:val="single" w:color="auto" w:sz="4" w:space="0"/>
            </w:tcBorders>
            <w:noWrap w:val="0"/>
            <w:vAlign w:val="center"/>
          </w:tcPr>
          <w:p w14:paraId="5D557842">
            <w:pPr>
              <w:jc w:val="left"/>
              <w:rPr>
                <w:rFonts w:hint="eastAsia"/>
                <w:sz w:val="24"/>
              </w:rPr>
            </w:pPr>
            <w:r>
              <w:rPr>
                <w:b/>
                <w:sz w:val="24"/>
              </w:rPr>
              <w:t>事故分析：</w:t>
            </w:r>
            <w:r>
              <w:rPr>
                <w:sz w:val="24"/>
              </w:rPr>
              <w:t>事故或运行中出现异常等情况，及时派有关技术人员赶赴现场，协助进行事故或异常情况调查分析，并提出处理意见和反事故措施</w:t>
            </w:r>
            <w:r>
              <w:rPr>
                <w:rFonts w:hint="eastAsia"/>
                <w:sz w:val="24"/>
              </w:rPr>
              <w:t>。</w:t>
            </w:r>
          </w:p>
          <w:p w14:paraId="4237AB3E">
            <w:pPr>
              <w:jc w:val="left"/>
              <w:rPr>
                <w:rFonts w:hint="eastAsia"/>
                <w:sz w:val="24"/>
              </w:rPr>
            </w:pPr>
          </w:p>
        </w:tc>
        <w:tc>
          <w:tcPr>
            <w:tcW w:w="5386" w:type="dxa"/>
            <w:tcBorders>
              <w:top w:val="single" w:color="auto" w:sz="4" w:space="0"/>
              <w:left w:val="nil"/>
              <w:bottom w:val="single" w:color="auto" w:sz="4" w:space="0"/>
              <w:right w:val="single" w:color="auto" w:sz="4" w:space="0"/>
            </w:tcBorders>
            <w:noWrap w:val="0"/>
            <w:vAlign w:val="center"/>
          </w:tcPr>
          <w:p w14:paraId="2C60DE9B">
            <w:pPr>
              <w:numPr>
                <w:ilvl w:val="0"/>
                <w:numId w:val="43"/>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，根据收到的信息进行分析，为事故处理提供技术支持，根据甲方要求及</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6730C718">
            <w:pPr>
              <w:numPr>
                <w:ilvl w:val="0"/>
                <w:numId w:val="43"/>
              </w:numPr>
              <w:ind w:left="360" w:hanging="360"/>
              <w:jc w:val="left"/>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p w14:paraId="7D4A5798">
            <w:pPr>
              <w:numPr>
                <w:ilvl w:val="0"/>
                <w:numId w:val="43"/>
              </w:numPr>
              <w:ind w:left="360" w:hanging="360"/>
              <w:jc w:val="left"/>
              <w:rPr>
                <w:sz w:val="24"/>
              </w:rPr>
            </w:pPr>
            <w:r>
              <w:rPr>
                <w:rFonts w:hint="eastAsia" w:ascii="宋体" w:hAnsi="宋体"/>
                <w:spacing w:val="10"/>
                <w:sz w:val="24"/>
              </w:rPr>
              <w:t>必要时根据甲方需求提交书面报告和书面建议。</w:t>
            </w:r>
          </w:p>
        </w:tc>
        <w:tc>
          <w:tcPr>
            <w:tcW w:w="2700" w:type="dxa"/>
            <w:tcBorders>
              <w:top w:val="single" w:color="auto" w:sz="4" w:space="0"/>
              <w:left w:val="nil"/>
              <w:bottom w:val="single" w:color="auto" w:sz="4" w:space="0"/>
              <w:right w:val="single" w:color="auto" w:sz="4" w:space="0"/>
            </w:tcBorders>
            <w:noWrap w:val="0"/>
            <w:vAlign w:val="top"/>
          </w:tcPr>
          <w:p w14:paraId="70AA4CB3">
            <w:pPr>
              <w:jc w:val="left"/>
              <w:rPr>
                <w:rFonts w:hint="eastAsia"/>
                <w:sz w:val="24"/>
              </w:rPr>
            </w:pPr>
          </w:p>
        </w:tc>
      </w:tr>
      <w:tr w14:paraId="374C779B">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217118B6">
            <w:pPr>
              <w:jc w:val="center"/>
              <w:rPr>
                <w:rFonts w:hint="eastAsia"/>
                <w:sz w:val="24"/>
              </w:rPr>
            </w:pPr>
            <w:r>
              <w:rPr>
                <w:rFonts w:hint="eastAsia"/>
                <w:sz w:val="24"/>
              </w:rPr>
              <w:t>6</w:t>
            </w:r>
          </w:p>
        </w:tc>
        <w:tc>
          <w:tcPr>
            <w:tcW w:w="5364" w:type="dxa"/>
            <w:tcBorders>
              <w:top w:val="single" w:color="auto" w:sz="4" w:space="0"/>
              <w:left w:val="nil"/>
              <w:bottom w:val="single" w:color="auto" w:sz="4" w:space="0"/>
              <w:right w:val="single" w:color="auto" w:sz="4" w:space="0"/>
            </w:tcBorders>
            <w:noWrap w:val="0"/>
            <w:vAlign w:val="center"/>
          </w:tcPr>
          <w:p w14:paraId="04219AA9">
            <w:pPr>
              <w:rPr>
                <w:rFonts w:hint="eastAsia"/>
                <w:b/>
                <w:sz w:val="24"/>
              </w:rPr>
            </w:pPr>
            <w:r>
              <w:rPr>
                <w:rFonts w:hint="eastAsia"/>
                <w:b/>
                <w:sz w:val="24"/>
              </w:rPr>
              <w:t>专业技术监督工作：</w:t>
            </w:r>
          </w:p>
          <w:p w14:paraId="429B5D75">
            <w:pPr>
              <w:rPr>
                <w:rFonts w:hint="eastAsia"/>
                <w:sz w:val="24"/>
              </w:rPr>
            </w:pPr>
            <w:r>
              <w:rPr>
                <w:rFonts w:hint="eastAsia"/>
                <w:sz w:val="24"/>
              </w:rPr>
              <w:t>1、对汽轮机主机系统的振动情况进行现场了解，对振动异常情况提供分析建议；</w:t>
            </w:r>
          </w:p>
          <w:p w14:paraId="7961AEDD">
            <w:pPr>
              <w:rPr>
                <w:rFonts w:hint="eastAsia"/>
                <w:sz w:val="24"/>
              </w:rPr>
            </w:pPr>
            <w:r>
              <w:rPr>
                <w:rFonts w:hint="eastAsia"/>
                <w:sz w:val="24"/>
              </w:rPr>
              <w:t>2、对汽轮机主要辅机系统的振动情况进行现场了解，对振动异常情况提供分析建议对设备大小修检查做出合理分析和建议；</w:t>
            </w:r>
          </w:p>
          <w:p w14:paraId="36C512A9">
            <w:pPr>
              <w:rPr>
                <w:rFonts w:hint="eastAsia"/>
                <w:sz w:val="24"/>
              </w:rPr>
            </w:pPr>
            <w:r>
              <w:rPr>
                <w:rFonts w:hint="eastAsia"/>
                <w:sz w:val="24"/>
              </w:rPr>
              <w:t>3、对汽轮机辅属设备的振动状态进行检查评价，并协助甲方对出现的异常振动情况进行分析，提出改进措施；</w:t>
            </w:r>
          </w:p>
          <w:p w14:paraId="59E5A342">
            <w:pPr>
              <w:jc w:val="left"/>
              <w:rPr>
                <w:sz w:val="24"/>
              </w:rPr>
            </w:pPr>
            <w:r>
              <w:rPr>
                <w:rFonts w:hint="eastAsia"/>
                <w:sz w:val="24"/>
              </w:rPr>
              <w:t>4、了解和分析汽轮机组的运行状况，提出改进机组安全、经济运行的建议。</w:t>
            </w:r>
          </w:p>
        </w:tc>
        <w:tc>
          <w:tcPr>
            <w:tcW w:w="5386" w:type="dxa"/>
            <w:tcBorders>
              <w:top w:val="single" w:color="auto" w:sz="4" w:space="0"/>
              <w:left w:val="nil"/>
              <w:bottom w:val="single" w:color="auto" w:sz="4" w:space="0"/>
              <w:right w:val="single" w:color="auto" w:sz="4" w:space="0"/>
            </w:tcBorders>
            <w:noWrap w:val="0"/>
            <w:vAlign w:val="center"/>
          </w:tcPr>
          <w:p w14:paraId="7EFF5709">
            <w:pPr>
              <w:jc w:val="left"/>
              <w:rPr>
                <w:rFonts w:hint="eastAsia" w:ascii="宋体" w:hAnsi="宋体"/>
                <w:spacing w:val="10"/>
                <w:sz w:val="24"/>
              </w:rPr>
            </w:pPr>
            <w:r>
              <w:rPr>
                <w:rFonts w:hint="eastAsia" w:ascii="宋体" w:hAnsi="宋体"/>
                <w:spacing w:val="10"/>
                <w:sz w:val="24"/>
              </w:rPr>
              <w:t>提交书面建议</w:t>
            </w:r>
          </w:p>
        </w:tc>
        <w:tc>
          <w:tcPr>
            <w:tcW w:w="2700" w:type="dxa"/>
            <w:tcBorders>
              <w:top w:val="single" w:color="auto" w:sz="4" w:space="0"/>
              <w:left w:val="nil"/>
              <w:bottom w:val="single" w:color="auto" w:sz="4" w:space="0"/>
              <w:right w:val="single" w:color="auto" w:sz="4" w:space="0"/>
            </w:tcBorders>
            <w:noWrap w:val="0"/>
            <w:vAlign w:val="top"/>
          </w:tcPr>
          <w:p w14:paraId="59D33B82">
            <w:pPr>
              <w:jc w:val="left"/>
              <w:rPr>
                <w:rFonts w:hint="eastAsia"/>
                <w:sz w:val="24"/>
              </w:rPr>
            </w:pPr>
          </w:p>
        </w:tc>
      </w:tr>
    </w:tbl>
    <w:p w14:paraId="6A28CF30">
      <w:pPr>
        <w:jc w:val="left"/>
        <w:rPr>
          <w:rFonts w:hint="eastAsia"/>
        </w:rPr>
      </w:pPr>
    </w:p>
    <w:p w14:paraId="2D0ED092">
      <w:pPr>
        <w:jc w:val="left"/>
        <w:rPr>
          <w:b/>
          <w:sz w:val="24"/>
        </w:rPr>
      </w:pPr>
      <w:r>
        <w:rPr>
          <w:rFonts w:hint="eastAsia"/>
          <w:b/>
          <w:sz w:val="24"/>
        </w:rPr>
        <w:t>十一、</w:t>
      </w:r>
      <w:r>
        <w:rPr>
          <w:b/>
          <w:sz w:val="24"/>
        </w:rPr>
        <w:t>专业：</w:t>
      </w:r>
      <w:r>
        <w:rPr>
          <w:b/>
          <w:bCs/>
          <w:sz w:val="24"/>
        </w:rPr>
        <w:t>锅炉</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6872E78E">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6D510110">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314FBA3C">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57C66F17">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651D49B6">
            <w:pPr>
              <w:jc w:val="center"/>
              <w:rPr>
                <w:rFonts w:eastAsia="黑体"/>
                <w:sz w:val="24"/>
              </w:rPr>
            </w:pPr>
            <w:r>
              <w:rPr>
                <w:rFonts w:eastAsia="黑体"/>
                <w:sz w:val="24"/>
              </w:rPr>
              <w:t>备注</w:t>
            </w:r>
          </w:p>
        </w:tc>
      </w:tr>
      <w:tr w14:paraId="040052BD">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45E21A00">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289F1C23">
            <w:pPr>
              <w:rPr>
                <w:sz w:val="24"/>
              </w:rPr>
            </w:pPr>
            <w:r>
              <w:rPr>
                <w:b/>
                <w:sz w:val="24"/>
              </w:rPr>
              <w:t>归口管理：</w:t>
            </w:r>
            <w:r>
              <w:rPr>
                <w:sz w:val="24"/>
              </w:rPr>
              <w:t>甲方锅炉本体：锅炉钢架、锅炉密封、悬吊结构、膨胀系统、受热面、联箱及炉范围内的管道系统；燃烧</w:t>
            </w:r>
            <w:r>
              <w:rPr>
                <w:rFonts w:hint="eastAsia"/>
                <w:sz w:val="24"/>
              </w:rPr>
              <w:t>优化及调整</w:t>
            </w:r>
            <w:r>
              <w:rPr>
                <w:sz w:val="24"/>
              </w:rPr>
              <w:t>：燃烧系统及一、二、次风系统，；灰渣系统：捞渣机及灰渣系统内其他设备和系统；重要辅机及主要附属设备：</w:t>
            </w:r>
            <w:r>
              <w:rPr>
                <w:rFonts w:hint="eastAsia"/>
                <w:sz w:val="24"/>
              </w:rPr>
              <w:t>一次</w:t>
            </w:r>
            <w:r>
              <w:rPr>
                <w:sz w:val="24"/>
              </w:rPr>
              <w:t>风机、二次风机</w:t>
            </w:r>
            <w:r>
              <w:rPr>
                <w:rFonts w:hint="eastAsia"/>
                <w:sz w:val="24"/>
              </w:rPr>
              <w:t>、炉墙冷却风机、</w:t>
            </w:r>
            <w:r>
              <w:rPr>
                <w:sz w:val="24"/>
              </w:rPr>
              <w:t>引风机、空气预热器及吹灰器的技术状况、运行可靠性及检验质量、锅炉效率等进行技术监控</w:t>
            </w:r>
            <w:r>
              <w:rPr>
                <w:rFonts w:hint="eastAsia"/>
                <w:sz w:val="24"/>
              </w:rPr>
              <w:t>管理</w:t>
            </w:r>
            <w:r>
              <w:rPr>
                <w:sz w:val="24"/>
              </w:rPr>
              <w:t>。</w:t>
            </w:r>
          </w:p>
        </w:tc>
        <w:tc>
          <w:tcPr>
            <w:tcW w:w="5386" w:type="dxa"/>
            <w:tcBorders>
              <w:top w:val="nil"/>
              <w:left w:val="nil"/>
              <w:bottom w:val="single" w:color="auto" w:sz="4" w:space="0"/>
              <w:right w:val="single" w:color="auto" w:sz="4" w:space="0"/>
            </w:tcBorders>
            <w:noWrap w:val="0"/>
            <w:vAlign w:val="top"/>
          </w:tcPr>
          <w:p w14:paraId="44AC45A7">
            <w:pPr>
              <w:numPr>
                <w:ilvl w:val="0"/>
                <w:numId w:val="44"/>
              </w:numPr>
              <w:ind w:left="360" w:hanging="360"/>
              <w:rPr>
                <w:rFonts w:hint="eastAsia"/>
                <w:sz w:val="24"/>
              </w:rPr>
            </w:pPr>
            <w:r>
              <w:rPr>
                <w:sz w:val="24"/>
              </w:rPr>
              <w:t>按</w:t>
            </w:r>
            <w:r>
              <w:rPr>
                <w:rFonts w:hint="eastAsia"/>
                <w:sz w:val="24"/>
              </w:rPr>
              <w:t>《广西电力技术专业监控考核办法》</w:t>
            </w:r>
            <w:r>
              <w:rPr>
                <w:sz w:val="24"/>
              </w:rPr>
              <w:t>及电力行业锅炉</w:t>
            </w:r>
            <w:r>
              <w:rPr>
                <w:rFonts w:hint="eastAsia"/>
                <w:sz w:val="24"/>
              </w:rPr>
              <w:t>监控</w:t>
            </w:r>
            <w:r>
              <w:rPr>
                <w:sz w:val="24"/>
              </w:rPr>
              <w:t>规程进行技术监控管理。</w:t>
            </w:r>
          </w:p>
          <w:p w14:paraId="6051F70C">
            <w:pPr>
              <w:numPr>
                <w:ilvl w:val="0"/>
                <w:numId w:val="44"/>
              </w:numPr>
              <w:ind w:left="360" w:hanging="360"/>
              <w:rPr>
                <w:sz w:val="24"/>
              </w:rPr>
            </w:pPr>
            <w:r>
              <w:rPr>
                <w:rFonts w:hint="eastAsia"/>
                <w:sz w:val="24"/>
              </w:rPr>
              <w:t>检查、指导、监督甲方开展锅炉及附属设备技术监督管理工作。协助解决锅炉技术监督方面存在的问题。</w:t>
            </w:r>
          </w:p>
        </w:tc>
        <w:tc>
          <w:tcPr>
            <w:tcW w:w="2700" w:type="dxa"/>
            <w:tcBorders>
              <w:top w:val="nil"/>
              <w:left w:val="nil"/>
              <w:bottom w:val="single" w:color="auto" w:sz="4" w:space="0"/>
              <w:right w:val="single" w:color="auto" w:sz="4" w:space="0"/>
            </w:tcBorders>
            <w:noWrap w:val="0"/>
            <w:vAlign w:val="top"/>
          </w:tcPr>
          <w:p w14:paraId="75820732">
            <w:pPr>
              <w:rPr>
                <w:sz w:val="24"/>
              </w:rPr>
            </w:pPr>
          </w:p>
        </w:tc>
      </w:tr>
      <w:tr w14:paraId="4B09047C">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6D16091">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7DFE3A7E">
            <w:pPr>
              <w:rPr>
                <w:rFonts w:hint="eastAsia"/>
                <w:b/>
                <w:sz w:val="24"/>
              </w:rPr>
            </w:pPr>
            <w:r>
              <w:rPr>
                <w:b/>
                <w:sz w:val="24"/>
              </w:rPr>
              <w:t>方案审核：</w:t>
            </w:r>
          </w:p>
          <w:p w14:paraId="780236BB">
            <w:pPr>
              <w:rPr>
                <w:rFonts w:hint="eastAsia"/>
                <w:sz w:val="24"/>
              </w:rPr>
            </w:pPr>
            <w:r>
              <w:rPr>
                <w:rFonts w:hint="eastAsia"/>
                <w:sz w:val="24"/>
              </w:rPr>
              <w:t>2.1对送达的</w:t>
            </w:r>
            <w:r>
              <w:rPr>
                <w:sz w:val="24"/>
              </w:rPr>
              <w:t>大小修</w:t>
            </w:r>
            <w:r>
              <w:rPr>
                <w:rFonts w:hint="eastAsia"/>
                <w:sz w:val="24"/>
              </w:rPr>
              <w:t>及</w:t>
            </w:r>
            <w:r>
              <w:rPr>
                <w:sz w:val="24"/>
              </w:rPr>
              <w:t>预防性试验</w:t>
            </w:r>
            <w:r>
              <w:rPr>
                <w:rFonts w:hint="eastAsia"/>
                <w:sz w:val="24"/>
              </w:rPr>
              <w:t>及技术改造等试验</w:t>
            </w:r>
            <w:r>
              <w:rPr>
                <w:sz w:val="24"/>
              </w:rPr>
              <w:t>方案</w:t>
            </w:r>
            <w:r>
              <w:rPr>
                <w:rFonts w:hint="eastAsia"/>
                <w:sz w:val="24"/>
              </w:rPr>
              <w:t>、报告进行</w:t>
            </w:r>
            <w:r>
              <w:rPr>
                <w:sz w:val="24"/>
              </w:rPr>
              <w:t>审核</w:t>
            </w:r>
            <w:r>
              <w:rPr>
                <w:rFonts w:hint="eastAsia"/>
                <w:sz w:val="24"/>
              </w:rPr>
              <w:t>。</w:t>
            </w:r>
          </w:p>
          <w:p w14:paraId="54A4CE3C">
            <w:pPr>
              <w:rPr>
                <w:rFonts w:hint="eastAsia"/>
                <w:sz w:val="24"/>
              </w:rPr>
            </w:pPr>
            <w:r>
              <w:rPr>
                <w:rFonts w:hint="eastAsia"/>
                <w:sz w:val="24"/>
              </w:rPr>
              <w:t>2.2 协助电厂对锅炉及主要辅机进行技术改造，为改造方案的制定提供建议；</w:t>
            </w:r>
          </w:p>
          <w:p w14:paraId="4F76650D">
            <w:pPr>
              <w:rPr>
                <w:sz w:val="24"/>
              </w:rPr>
            </w:pPr>
            <w:r>
              <w:rPr>
                <w:rFonts w:hint="eastAsia"/>
                <w:sz w:val="24"/>
              </w:rPr>
              <w:t>2.3协助电厂对锅炉、脱硫和脱硝设备的新建、扩建、改建项目进行可行性研究、审查和调研。</w:t>
            </w:r>
          </w:p>
        </w:tc>
        <w:tc>
          <w:tcPr>
            <w:tcW w:w="5386" w:type="dxa"/>
            <w:tcBorders>
              <w:top w:val="nil"/>
              <w:left w:val="nil"/>
              <w:bottom w:val="single" w:color="auto" w:sz="4" w:space="0"/>
              <w:right w:val="single" w:color="auto" w:sz="4" w:space="0"/>
            </w:tcBorders>
            <w:noWrap w:val="0"/>
            <w:vAlign w:val="center"/>
          </w:tcPr>
          <w:p w14:paraId="48A0BA98">
            <w:pPr>
              <w:numPr>
                <w:ilvl w:val="0"/>
                <w:numId w:val="45"/>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7BC64E91">
            <w:pPr>
              <w:numPr>
                <w:ilvl w:val="0"/>
                <w:numId w:val="45"/>
              </w:numPr>
              <w:ind w:left="360" w:hanging="360"/>
              <w:rPr>
                <w:rFonts w:hint="eastAsia"/>
                <w:sz w:val="24"/>
              </w:rPr>
            </w:pPr>
            <w:r>
              <w:rPr>
                <w:sz w:val="24"/>
              </w:rPr>
              <w:t>大小修</w:t>
            </w:r>
            <w:r>
              <w:rPr>
                <w:rFonts w:hint="eastAsia"/>
                <w:sz w:val="24"/>
              </w:rPr>
              <w:t>期间应派员对锅炉技术监督进行技术指导，发现问题时</w:t>
            </w:r>
            <w:r>
              <w:rPr>
                <w:sz w:val="24"/>
              </w:rPr>
              <w:t>提出处理建议或方案</w:t>
            </w:r>
            <w:r>
              <w:rPr>
                <w:rFonts w:hint="eastAsia"/>
                <w:sz w:val="24"/>
              </w:rPr>
              <w:t>。</w:t>
            </w:r>
          </w:p>
          <w:p w14:paraId="4E5D630B">
            <w:pPr>
              <w:numPr>
                <w:ilvl w:val="0"/>
                <w:numId w:val="45"/>
              </w:numPr>
              <w:ind w:left="360" w:hanging="360"/>
              <w:rPr>
                <w:rFonts w:hint="eastAsia"/>
                <w:sz w:val="24"/>
              </w:rPr>
            </w:pPr>
            <w:r>
              <w:rPr>
                <w:sz w:val="24"/>
              </w:rPr>
              <w:t>甲方</w:t>
            </w:r>
            <w:r>
              <w:rPr>
                <w:rFonts w:hint="eastAsia"/>
                <w:sz w:val="24"/>
              </w:rPr>
              <w:t>在检修过程中发现缺陷等问题通知</w:t>
            </w:r>
            <w:r>
              <w:rPr>
                <w:sz w:val="24"/>
              </w:rPr>
              <w:t>乙方</w:t>
            </w:r>
            <w:r>
              <w:rPr>
                <w:rFonts w:hint="eastAsia"/>
                <w:sz w:val="24"/>
              </w:rPr>
              <w:t>派技术员至现场指导时，乙方应按甲方提出的项目及时间要求到达检修现场，并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19264F63">
            <w:pPr>
              <w:ind w:firstLine="480" w:firstLineChars="200"/>
              <w:rPr>
                <w:sz w:val="24"/>
              </w:rPr>
            </w:pPr>
            <w:r>
              <w:rPr>
                <w:sz w:val="24"/>
              </w:rPr>
              <w:t>按照电厂要求</w:t>
            </w:r>
          </w:p>
        </w:tc>
      </w:tr>
      <w:tr w14:paraId="09D12E26">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6D13850">
            <w:pPr>
              <w:jc w:val="center"/>
              <w:rPr>
                <w:sz w:val="24"/>
              </w:rPr>
            </w:pPr>
            <w:r>
              <w:rPr>
                <w:sz w:val="24"/>
              </w:rPr>
              <w:t>3</w:t>
            </w:r>
          </w:p>
        </w:tc>
        <w:tc>
          <w:tcPr>
            <w:tcW w:w="5364" w:type="dxa"/>
            <w:tcBorders>
              <w:top w:val="nil"/>
              <w:left w:val="nil"/>
              <w:bottom w:val="single" w:color="auto" w:sz="4" w:space="0"/>
              <w:right w:val="single" w:color="auto" w:sz="4" w:space="0"/>
            </w:tcBorders>
            <w:noWrap w:val="0"/>
            <w:vAlign w:val="center"/>
          </w:tcPr>
          <w:p w14:paraId="4CFA7E3A">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 xml:space="preserve"> </w:t>
            </w:r>
          </w:p>
          <w:p w14:paraId="13F53A20">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3.1组织甲方锅炉专业人员参加广西省电力系统（电源侧）技术监督网的锅炉专业技术交流会或技术培训班；</w:t>
            </w:r>
          </w:p>
          <w:p w14:paraId="7E023D69">
            <w:pPr>
              <w:rPr>
                <w:rFonts w:hint="eastAsia"/>
              </w:rPr>
            </w:pPr>
            <w:r>
              <w:rPr>
                <w:rFonts w:hint="eastAsia"/>
                <w:sz w:val="24"/>
              </w:rPr>
              <w:t>3.2组织锅炉专业人员到电厂进行技术交流、培训。</w:t>
            </w:r>
          </w:p>
        </w:tc>
        <w:tc>
          <w:tcPr>
            <w:tcW w:w="5386" w:type="dxa"/>
            <w:tcBorders>
              <w:top w:val="nil"/>
              <w:left w:val="nil"/>
              <w:bottom w:val="single" w:color="auto" w:sz="4" w:space="0"/>
              <w:right w:val="single" w:color="auto" w:sz="4" w:space="0"/>
            </w:tcBorders>
            <w:noWrap w:val="0"/>
            <w:vAlign w:val="top"/>
          </w:tcPr>
          <w:p w14:paraId="2A3C91C3">
            <w:pPr>
              <w:numPr>
                <w:ilvl w:val="0"/>
                <w:numId w:val="46"/>
              </w:numPr>
              <w:ind w:left="360" w:hanging="360"/>
              <w:rPr>
                <w:rFonts w:hint="eastAsia"/>
                <w:sz w:val="24"/>
              </w:rPr>
            </w:pPr>
            <w:r>
              <w:rPr>
                <w:rFonts w:hint="eastAsia"/>
                <w:sz w:val="24"/>
              </w:rPr>
              <w:t>每年至少组织</w:t>
            </w:r>
            <w:r>
              <w:rPr>
                <w:sz w:val="24"/>
              </w:rPr>
              <w:t>甲方</w:t>
            </w:r>
            <w:r>
              <w:rPr>
                <w:rFonts w:hint="eastAsia"/>
                <w:sz w:val="24"/>
              </w:rPr>
              <w:t>锅炉技术监督人员对国家或行业新</w:t>
            </w:r>
            <w:r>
              <w:rPr>
                <w:sz w:val="24"/>
              </w:rPr>
              <w:t>规程、规范学习应用；试验方法、技能培训</w:t>
            </w:r>
            <w:r>
              <w:rPr>
                <w:rFonts w:hint="eastAsia"/>
                <w:sz w:val="24"/>
              </w:rPr>
              <w:t>1次。</w:t>
            </w:r>
          </w:p>
          <w:p w14:paraId="2D8B3727">
            <w:pPr>
              <w:numPr>
                <w:ilvl w:val="0"/>
                <w:numId w:val="46"/>
              </w:numPr>
              <w:ind w:left="360" w:hanging="360"/>
              <w:rPr>
                <w:rFonts w:hint="eastAsia"/>
                <w:sz w:val="24"/>
              </w:rPr>
            </w:pPr>
            <w:r>
              <w:rPr>
                <w:sz w:val="24"/>
              </w:rPr>
              <w:t>培训方式：培训班、现场培训、现场技术指导、现场专题技术分析</w:t>
            </w:r>
            <w:r>
              <w:rPr>
                <w:rFonts w:hint="eastAsia"/>
                <w:sz w:val="24"/>
              </w:rPr>
              <w:t>等。</w:t>
            </w:r>
          </w:p>
          <w:p w14:paraId="12C9D27A">
            <w:pPr>
              <w:numPr>
                <w:ilvl w:val="0"/>
                <w:numId w:val="46"/>
              </w:numPr>
              <w:ind w:left="360" w:hanging="360"/>
              <w:rPr>
                <w:rFonts w:hint="eastAsia"/>
                <w:sz w:val="24"/>
              </w:rPr>
            </w:pPr>
            <w:r>
              <w:rPr>
                <w:rFonts w:hint="eastAsia" w:ascii="宋体" w:hAnsi="宋体"/>
                <w:sz w:val="24"/>
              </w:rPr>
              <w:t>每年至少提供电厂</w:t>
            </w:r>
            <w:r>
              <w:rPr>
                <w:rFonts w:hint="eastAsia"/>
                <w:sz w:val="24"/>
              </w:rPr>
              <w:t>锅炉</w:t>
            </w:r>
            <w:r>
              <w:rPr>
                <w:rFonts w:hint="eastAsia" w:ascii="宋体" w:hAnsi="宋体"/>
                <w:sz w:val="24"/>
              </w:rPr>
              <w:t>有关技术情报、最新行业技术标准、新工艺等方面信息1批次。</w:t>
            </w:r>
          </w:p>
        </w:tc>
        <w:tc>
          <w:tcPr>
            <w:tcW w:w="2700" w:type="dxa"/>
            <w:tcBorders>
              <w:top w:val="nil"/>
              <w:left w:val="nil"/>
              <w:bottom w:val="single" w:color="auto" w:sz="4" w:space="0"/>
              <w:right w:val="single" w:color="auto" w:sz="4" w:space="0"/>
            </w:tcBorders>
            <w:noWrap w:val="0"/>
            <w:vAlign w:val="top"/>
          </w:tcPr>
          <w:p w14:paraId="2B3706B8">
            <w:pPr>
              <w:rPr>
                <w:sz w:val="24"/>
              </w:rPr>
            </w:pPr>
          </w:p>
        </w:tc>
      </w:tr>
      <w:tr w14:paraId="59E569E9">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3FBA6937">
            <w:pPr>
              <w:jc w:val="center"/>
              <w:rPr>
                <w:sz w:val="24"/>
              </w:rPr>
            </w:pPr>
            <w:r>
              <w:rPr>
                <w:sz w:val="24"/>
              </w:rPr>
              <w:t>4</w:t>
            </w:r>
          </w:p>
        </w:tc>
        <w:tc>
          <w:tcPr>
            <w:tcW w:w="5364" w:type="dxa"/>
            <w:tcBorders>
              <w:top w:val="nil"/>
              <w:left w:val="nil"/>
              <w:bottom w:val="single" w:color="auto" w:sz="4" w:space="0"/>
              <w:right w:val="single" w:color="auto" w:sz="4" w:space="0"/>
            </w:tcBorders>
            <w:noWrap w:val="0"/>
            <w:vAlign w:val="center"/>
          </w:tcPr>
          <w:p w14:paraId="09DEC5AC">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327E8585">
            <w:pPr>
              <w:numPr>
                <w:ilvl w:val="0"/>
                <w:numId w:val="47"/>
              </w:numPr>
              <w:ind w:left="360" w:hanging="360"/>
              <w:rPr>
                <w:rFonts w:hint="eastAsia"/>
                <w:sz w:val="24"/>
              </w:rPr>
            </w:pPr>
            <w:r>
              <w:rPr>
                <w:sz w:val="24"/>
              </w:rPr>
              <w:t>现场检查运行日志、试验报告、缺陷处理、</w:t>
            </w:r>
            <w:r>
              <w:rPr>
                <w:rFonts w:hint="eastAsia"/>
                <w:sz w:val="24"/>
              </w:rPr>
              <w:t>锅炉</w:t>
            </w:r>
            <w:r>
              <w:rPr>
                <w:sz w:val="24"/>
              </w:rPr>
              <w:t>监</w:t>
            </w:r>
            <w:r>
              <w:rPr>
                <w:rFonts w:hint="eastAsia"/>
                <w:sz w:val="24"/>
              </w:rPr>
              <w:t>控</w:t>
            </w:r>
            <w:r>
              <w:rPr>
                <w:sz w:val="24"/>
              </w:rPr>
              <w:t>规程执行情况</w:t>
            </w:r>
            <w:r>
              <w:rPr>
                <w:rFonts w:hint="eastAsia"/>
                <w:sz w:val="24"/>
              </w:rPr>
              <w:t>。</w:t>
            </w:r>
          </w:p>
          <w:p w14:paraId="224DD713">
            <w:pPr>
              <w:numPr>
                <w:ilvl w:val="0"/>
                <w:numId w:val="47"/>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45B33660">
            <w:pPr>
              <w:rPr>
                <w:rFonts w:hint="eastAsia"/>
                <w:sz w:val="24"/>
              </w:rPr>
            </w:pPr>
            <w:r>
              <w:rPr>
                <w:sz w:val="24"/>
              </w:rPr>
              <w:t>现场检查不少于3天</w:t>
            </w:r>
            <w:r>
              <w:rPr>
                <w:rFonts w:hint="eastAsia"/>
                <w:sz w:val="24"/>
              </w:rPr>
              <w:t>。</w:t>
            </w:r>
          </w:p>
        </w:tc>
      </w:tr>
      <w:tr w14:paraId="35A47866">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7CF8D5A3">
            <w:pPr>
              <w:jc w:val="center"/>
              <w:rPr>
                <w:sz w:val="24"/>
              </w:rPr>
            </w:pPr>
            <w:r>
              <w:rPr>
                <w:sz w:val="24"/>
              </w:rPr>
              <w:t>5</w:t>
            </w:r>
          </w:p>
        </w:tc>
        <w:tc>
          <w:tcPr>
            <w:tcW w:w="5364" w:type="dxa"/>
            <w:tcBorders>
              <w:top w:val="single" w:color="auto" w:sz="4" w:space="0"/>
              <w:left w:val="nil"/>
              <w:bottom w:val="single" w:color="auto" w:sz="4" w:space="0"/>
              <w:right w:val="single" w:color="auto" w:sz="4" w:space="0"/>
            </w:tcBorders>
            <w:noWrap w:val="0"/>
            <w:vAlign w:val="center"/>
          </w:tcPr>
          <w:p w14:paraId="2268ABA5">
            <w:pPr>
              <w:rPr>
                <w:rFonts w:hint="eastAsia" w:ascii="宋体" w:hAnsi="宋体"/>
                <w:spacing w:val="10"/>
                <w:sz w:val="24"/>
              </w:rPr>
            </w:pPr>
            <w:r>
              <w:rPr>
                <w:rFonts w:ascii="宋体" w:hAnsi="宋体"/>
                <w:spacing w:val="10"/>
                <w:sz w:val="24"/>
              </w:rPr>
              <w:t>事故分析：</w:t>
            </w:r>
          </w:p>
          <w:p w14:paraId="7700C6B9">
            <w:pPr>
              <w:rPr>
                <w:rFonts w:hint="eastAsia" w:ascii="宋体" w:hAnsi="宋体"/>
                <w:spacing w:val="10"/>
                <w:sz w:val="24"/>
              </w:rPr>
            </w:pPr>
            <w:r>
              <w:rPr>
                <w:rFonts w:hint="eastAsia" w:ascii="宋体" w:hAnsi="宋体"/>
                <w:spacing w:val="10"/>
                <w:sz w:val="24"/>
              </w:rPr>
              <w:t>5.1</w:t>
            </w:r>
            <w:r>
              <w:rPr>
                <w:rFonts w:ascii="宋体" w:hAnsi="宋体"/>
                <w:spacing w:val="10"/>
                <w:sz w:val="24"/>
              </w:rPr>
              <w:t>事故或运行中出现异常等情况，及时派有关技术人员赶赴现场，协助进行事故或异常情况调查分析，并提出处理意见和反事故措施</w:t>
            </w:r>
            <w:r>
              <w:rPr>
                <w:rFonts w:hint="eastAsia" w:ascii="宋体" w:hAnsi="宋体"/>
                <w:spacing w:val="10"/>
                <w:sz w:val="24"/>
              </w:rPr>
              <w:t>。</w:t>
            </w:r>
          </w:p>
          <w:p w14:paraId="3B740A6B">
            <w:pPr>
              <w:rPr>
                <w:rFonts w:hint="eastAsia" w:ascii="宋体" w:hAnsi="宋体"/>
                <w:spacing w:val="10"/>
                <w:sz w:val="24"/>
              </w:rPr>
            </w:pPr>
            <w:r>
              <w:rPr>
                <w:rFonts w:hint="eastAsia" w:ascii="宋体" w:hAnsi="宋体"/>
                <w:spacing w:val="10"/>
                <w:sz w:val="24"/>
              </w:rPr>
              <w:t>5.2当锅炉发生锅炉四管防爆漏时，及时协助电厂分析爆漏，提出处理意见，并对锅炉检修、运行有关注意事项提出参考意见</w:t>
            </w:r>
          </w:p>
          <w:p w14:paraId="648E5A48">
            <w:pPr>
              <w:rPr>
                <w:rFonts w:hint="eastAsia" w:ascii="宋体" w:hAnsi="宋体"/>
                <w:spacing w:val="10"/>
                <w:sz w:val="24"/>
              </w:rPr>
            </w:pPr>
            <w:r>
              <w:rPr>
                <w:rFonts w:hint="eastAsia" w:ascii="宋体" w:hAnsi="宋体"/>
                <w:spacing w:val="10"/>
                <w:sz w:val="24"/>
              </w:rPr>
              <w:t>5.3协助电厂对锅炉及主要辅机出现的异常或疑难问题进行分析，并提出处理意见。</w:t>
            </w:r>
          </w:p>
          <w:p w14:paraId="768C6336">
            <w:pPr>
              <w:rPr>
                <w:rFonts w:hint="eastAsia"/>
              </w:rPr>
            </w:pPr>
            <w:r>
              <w:rPr>
                <w:rFonts w:hint="eastAsia" w:ascii="宋体" w:hAnsi="宋体"/>
                <w:spacing w:val="10"/>
                <w:sz w:val="24"/>
              </w:rPr>
              <w:t xml:space="preserve">5.4参加电厂锅炉专业故障的调查和分析，并提出处理意见和反事故措施。  </w:t>
            </w:r>
            <w:r>
              <w:rPr>
                <w:rFonts w:hint="eastAsia" w:ascii="宋体" w:hAnsi="宋体"/>
              </w:rPr>
              <w:t xml:space="preserve"> </w:t>
            </w:r>
          </w:p>
        </w:tc>
        <w:tc>
          <w:tcPr>
            <w:tcW w:w="5386" w:type="dxa"/>
            <w:tcBorders>
              <w:top w:val="single" w:color="auto" w:sz="4" w:space="0"/>
              <w:left w:val="nil"/>
              <w:bottom w:val="single" w:color="auto" w:sz="4" w:space="0"/>
              <w:right w:val="single" w:color="auto" w:sz="4" w:space="0"/>
            </w:tcBorders>
            <w:noWrap w:val="0"/>
            <w:vAlign w:val="center"/>
          </w:tcPr>
          <w:p w14:paraId="02093833">
            <w:pPr>
              <w:numPr>
                <w:ilvl w:val="0"/>
                <w:numId w:val="48"/>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，根据收到的信息进行分析，为事故处理提供技术支持，按甲方要求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40E13F8F">
            <w:pPr>
              <w:numPr>
                <w:ilvl w:val="0"/>
                <w:numId w:val="48"/>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1FAB63E2">
            <w:pPr>
              <w:rPr>
                <w:rFonts w:hint="eastAsia"/>
                <w:sz w:val="24"/>
              </w:rPr>
            </w:pPr>
          </w:p>
        </w:tc>
      </w:tr>
      <w:tr w14:paraId="6CE39687">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7DA2944B">
            <w:pPr>
              <w:jc w:val="center"/>
              <w:rPr>
                <w:sz w:val="24"/>
              </w:rPr>
            </w:pPr>
            <w:r>
              <w:rPr>
                <w:rFonts w:hint="eastAsia"/>
                <w:sz w:val="24"/>
              </w:rPr>
              <w:t>6</w:t>
            </w:r>
          </w:p>
        </w:tc>
        <w:tc>
          <w:tcPr>
            <w:tcW w:w="5364" w:type="dxa"/>
            <w:tcBorders>
              <w:top w:val="single" w:color="auto" w:sz="4" w:space="0"/>
              <w:left w:val="nil"/>
              <w:bottom w:val="single" w:color="auto" w:sz="4" w:space="0"/>
              <w:right w:val="single" w:color="auto" w:sz="4" w:space="0"/>
            </w:tcBorders>
            <w:noWrap w:val="0"/>
            <w:vAlign w:val="center"/>
          </w:tcPr>
          <w:p w14:paraId="7384DA3E">
            <w:pPr>
              <w:rPr>
                <w:rFonts w:ascii="宋体" w:hAnsi="宋体"/>
                <w:spacing w:val="10"/>
                <w:sz w:val="24"/>
              </w:rPr>
            </w:pPr>
            <w:r>
              <w:rPr>
                <w:rFonts w:hint="eastAsia" w:ascii="宋体" w:hAnsi="宋体"/>
                <w:spacing w:val="10"/>
                <w:sz w:val="24"/>
              </w:rPr>
              <w:t>新技术：协助甲方进行新技术开发和推广工作，及时提供有关锅炉方面的技术资料、上级文件等。</w:t>
            </w:r>
          </w:p>
        </w:tc>
        <w:tc>
          <w:tcPr>
            <w:tcW w:w="5386" w:type="dxa"/>
            <w:tcBorders>
              <w:top w:val="single" w:color="auto" w:sz="4" w:space="0"/>
              <w:left w:val="nil"/>
              <w:bottom w:val="single" w:color="auto" w:sz="4" w:space="0"/>
              <w:right w:val="single" w:color="auto" w:sz="4" w:space="0"/>
            </w:tcBorders>
            <w:noWrap w:val="0"/>
            <w:vAlign w:val="center"/>
          </w:tcPr>
          <w:p w14:paraId="02D299BB">
            <w:pPr>
              <w:ind w:firstLine="390" w:firstLineChars="150"/>
              <w:rPr>
                <w:rFonts w:ascii="宋体" w:hAnsi="宋体"/>
                <w:spacing w:val="10"/>
                <w:sz w:val="24"/>
              </w:rPr>
            </w:pPr>
            <w:r>
              <w:rPr>
                <w:rFonts w:hint="eastAsia" w:ascii="宋体" w:hAnsi="宋体"/>
                <w:spacing w:val="10"/>
                <w:sz w:val="24"/>
              </w:rPr>
              <w:t>按有关规程要求，提供技术咨询</w:t>
            </w:r>
          </w:p>
        </w:tc>
        <w:tc>
          <w:tcPr>
            <w:tcW w:w="2700" w:type="dxa"/>
            <w:tcBorders>
              <w:top w:val="single" w:color="auto" w:sz="4" w:space="0"/>
              <w:left w:val="nil"/>
              <w:bottom w:val="single" w:color="auto" w:sz="4" w:space="0"/>
              <w:right w:val="single" w:color="auto" w:sz="4" w:space="0"/>
            </w:tcBorders>
            <w:noWrap w:val="0"/>
            <w:vAlign w:val="center"/>
          </w:tcPr>
          <w:p w14:paraId="4D32530A">
            <w:pPr>
              <w:rPr>
                <w:rFonts w:hint="eastAsia" w:ascii="宋体" w:hAnsi="宋体"/>
                <w:spacing w:val="10"/>
                <w:sz w:val="24"/>
              </w:rPr>
            </w:pPr>
            <w:r>
              <w:rPr>
                <w:rFonts w:hint="eastAsia" w:ascii="宋体" w:hAnsi="宋体"/>
                <w:spacing w:val="10"/>
                <w:sz w:val="24"/>
              </w:rPr>
              <w:t>全年</w:t>
            </w:r>
          </w:p>
        </w:tc>
      </w:tr>
    </w:tbl>
    <w:p w14:paraId="5286ECF7">
      <w:pPr>
        <w:spacing w:before="187" w:line="360" w:lineRule="auto"/>
        <w:rPr>
          <w:rFonts w:hint="eastAsia"/>
          <w:b/>
          <w:sz w:val="24"/>
        </w:rPr>
      </w:pPr>
    </w:p>
    <w:p w14:paraId="13514126">
      <w:pPr>
        <w:spacing w:before="187" w:line="360" w:lineRule="auto"/>
        <w:rPr>
          <w:rFonts w:hint="eastAsia"/>
          <w:b/>
          <w:sz w:val="24"/>
        </w:rPr>
      </w:pPr>
      <w:r>
        <w:rPr>
          <w:rFonts w:hint="eastAsia"/>
          <w:b/>
          <w:sz w:val="24"/>
        </w:rPr>
        <w:t>十二、</w:t>
      </w:r>
      <w:r>
        <w:rPr>
          <w:b/>
          <w:sz w:val="24"/>
        </w:rPr>
        <w:t>专业：</w:t>
      </w:r>
      <w:r>
        <w:rPr>
          <w:rFonts w:hint="eastAsia"/>
          <w:b/>
          <w:sz w:val="24"/>
        </w:rPr>
        <w:t>计量</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7332ECF9">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2CC986EB">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09F081CB">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4A76D77F">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34EB5B7B">
            <w:pPr>
              <w:jc w:val="center"/>
              <w:rPr>
                <w:rFonts w:eastAsia="黑体"/>
                <w:sz w:val="24"/>
              </w:rPr>
            </w:pPr>
            <w:r>
              <w:rPr>
                <w:rFonts w:eastAsia="黑体"/>
                <w:sz w:val="24"/>
              </w:rPr>
              <w:t>备注</w:t>
            </w:r>
          </w:p>
        </w:tc>
      </w:tr>
      <w:tr w14:paraId="0C5E6B3C">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2FB20DF7">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0155ABA2">
            <w:pPr>
              <w:spacing w:before="187" w:line="360" w:lineRule="auto"/>
              <w:rPr>
                <w:rFonts w:hint="eastAsia" w:ascii="宋体"/>
                <w:sz w:val="24"/>
              </w:rPr>
            </w:pPr>
            <w:r>
              <w:rPr>
                <w:b/>
                <w:sz w:val="24"/>
              </w:rPr>
              <w:t>归口管理：</w:t>
            </w:r>
            <w:r>
              <w:rPr>
                <w:sz w:val="24"/>
              </w:rPr>
              <w:t>对甲方</w:t>
            </w:r>
            <w:r>
              <w:rPr>
                <w:rFonts w:hint="eastAsia"/>
                <w:sz w:val="24"/>
              </w:rPr>
              <w:t>计量管理工作</w:t>
            </w:r>
            <w:r>
              <w:rPr>
                <w:sz w:val="24"/>
              </w:rPr>
              <w:t>进行技术监</w:t>
            </w:r>
            <w:r>
              <w:rPr>
                <w:rFonts w:hint="eastAsia"/>
                <w:sz w:val="24"/>
              </w:rPr>
              <w:t>控管理。</w:t>
            </w:r>
            <w:r>
              <w:rPr>
                <w:rFonts w:hint="eastAsia" w:ascii="宋体"/>
                <w:sz w:val="24"/>
              </w:rPr>
              <w:t>协助甲方建立计量标准、认证，进行定期量值传递，组织专业人员取得相关证书。</w:t>
            </w:r>
          </w:p>
          <w:p w14:paraId="338B776B">
            <w:pPr>
              <w:rPr>
                <w:sz w:val="24"/>
              </w:rPr>
            </w:pPr>
          </w:p>
        </w:tc>
        <w:tc>
          <w:tcPr>
            <w:tcW w:w="5386" w:type="dxa"/>
            <w:tcBorders>
              <w:top w:val="nil"/>
              <w:left w:val="nil"/>
              <w:bottom w:val="single" w:color="auto" w:sz="4" w:space="0"/>
              <w:right w:val="single" w:color="auto" w:sz="4" w:space="0"/>
            </w:tcBorders>
            <w:noWrap w:val="0"/>
            <w:vAlign w:val="top"/>
          </w:tcPr>
          <w:p w14:paraId="13B0BB4E">
            <w:pPr>
              <w:rPr>
                <w:rFonts w:hint="eastAsia"/>
                <w:sz w:val="24"/>
              </w:rPr>
            </w:pPr>
            <w:r>
              <w:rPr>
                <w:rFonts w:hint="eastAsia"/>
                <w:sz w:val="24"/>
              </w:rPr>
              <w:t xml:space="preserve">1. </w:t>
            </w:r>
            <w:r>
              <w:rPr>
                <w:sz w:val="24"/>
              </w:rPr>
              <w:t>按</w:t>
            </w:r>
            <w:r>
              <w:rPr>
                <w:rFonts w:hint="eastAsia"/>
                <w:sz w:val="24"/>
              </w:rPr>
              <w:t>《广西电力技术专业监控考核办法》</w:t>
            </w:r>
            <w:r>
              <w:rPr>
                <w:sz w:val="24"/>
              </w:rPr>
              <w:t>及电力行业</w:t>
            </w:r>
            <w:r>
              <w:rPr>
                <w:rFonts w:hint="eastAsia"/>
                <w:sz w:val="24"/>
              </w:rPr>
              <w:t>计量</w:t>
            </w:r>
            <w:r>
              <w:rPr>
                <w:sz w:val="24"/>
              </w:rPr>
              <w:t>规程进行技术监控管理。</w:t>
            </w:r>
          </w:p>
          <w:p w14:paraId="35D6DBDA">
            <w:pPr>
              <w:rPr>
                <w:rFonts w:hint="eastAsia"/>
                <w:sz w:val="24"/>
              </w:rPr>
            </w:pPr>
            <w:r>
              <w:rPr>
                <w:rFonts w:hint="eastAsia"/>
                <w:sz w:val="24"/>
              </w:rPr>
              <w:t>2. 按甲方要求进行相关计量检定及量值传递，并出具报告。</w:t>
            </w:r>
          </w:p>
          <w:p w14:paraId="73841F4F">
            <w:pPr>
              <w:rPr>
                <w:rFonts w:hint="eastAsia"/>
                <w:sz w:val="24"/>
              </w:rPr>
            </w:pPr>
            <w:r>
              <w:rPr>
                <w:rFonts w:hint="eastAsia"/>
                <w:sz w:val="24"/>
              </w:rPr>
              <w:t>3. 检查、指导、监督甲方开展计量管理工作。</w:t>
            </w:r>
          </w:p>
          <w:p w14:paraId="0F36FDD7">
            <w:pPr>
              <w:rPr>
                <w:rFonts w:ascii="宋体" w:hAnsi="宋体"/>
                <w:sz w:val="24"/>
              </w:rPr>
            </w:pPr>
            <w:r>
              <w:rPr>
                <w:rFonts w:hint="eastAsia"/>
                <w:sz w:val="24"/>
              </w:rPr>
              <w:t>4. 协助解决工作计量监督方面存在的问题。</w:t>
            </w:r>
          </w:p>
        </w:tc>
        <w:tc>
          <w:tcPr>
            <w:tcW w:w="2700" w:type="dxa"/>
            <w:tcBorders>
              <w:top w:val="nil"/>
              <w:left w:val="nil"/>
              <w:bottom w:val="single" w:color="auto" w:sz="4" w:space="0"/>
              <w:right w:val="single" w:color="auto" w:sz="4" w:space="0"/>
            </w:tcBorders>
            <w:noWrap w:val="0"/>
            <w:vAlign w:val="top"/>
          </w:tcPr>
          <w:p w14:paraId="1B67A273">
            <w:pPr>
              <w:rPr>
                <w:sz w:val="24"/>
              </w:rPr>
            </w:pPr>
          </w:p>
        </w:tc>
      </w:tr>
      <w:tr w14:paraId="635F25BB">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FBD8859">
            <w:pPr>
              <w:jc w:val="center"/>
              <w:rPr>
                <w:sz w:val="24"/>
              </w:rPr>
            </w:pPr>
            <w:r>
              <w:rPr>
                <w:rFonts w:hint="eastAsia"/>
                <w:sz w:val="24"/>
              </w:rPr>
              <w:t>2</w:t>
            </w:r>
          </w:p>
        </w:tc>
        <w:tc>
          <w:tcPr>
            <w:tcW w:w="5364" w:type="dxa"/>
            <w:tcBorders>
              <w:top w:val="nil"/>
              <w:left w:val="nil"/>
              <w:bottom w:val="single" w:color="auto" w:sz="4" w:space="0"/>
              <w:right w:val="single" w:color="auto" w:sz="4" w:space="0"/>
            </w:tcBorders>
            <w:noWrap w:val="0"/>
            <w:vAlign w:val="center"/>
          </w:tcPr>
          <w:p w14:paraId="773340E7">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交</w:t>
            </w:r>
            <w:r>
              <w:rPr>
                <w:rFonts w:ascii="Times New Roman" w:hAnsi="Times New Roman" w:eastAsia="宋体" w:cs="Times New Roman"/>
                <w:kern w:val="2"/>
                <w:sz w:val="24"/>
                <w:szCs w:val="24"/>
                <w:lang w:val="en-US" w:eastAsia="zh-CN" w:bidi="ar-SA"/>
              </w:rPr>
              <w:t>流培训：</w:t>
            </w:r>
            <w:r>
              <w:rPr>
                <w:rFonts w:hint="eastAsia" w:ascii="Times New Roman" w:hAnsi="Times New Roman" w:eastAsia="宋体" w:cs="Times New Roman"/>
                <w:kern w:val="2"/>
                <w:sz w:val="24"/>
                <w:szCs w:val="24"/>
                <w:lang w:val="en-US" w:eastAsia="zh-CN" w:bidi="ar-SA"/>
              </w:rPr>
              <w:t>对计量专业</w:t>
            </w:r>
            <w:r>
              <w:rPr>
                <w:rFonts w:ascii="Times New Roman" w:hAnsi="Times New Roman" w:eastAsia="宋体" w:cs="Times New Roman"/>
                <w:kern w:val="2"/>
                <w:sz w:val="24"/>
                <w:szCs w:val="24"/>
                <w:lang w:val="en-US" w:eastAsia="zh-CN" w:bidi="ar-SA"/>
              </w:rPr>
              <w:t>人员进行持证</w:t>
            </w:r>
            <w:r>
              <w:rPr>
                <w:rFonts w:hint="eastAsia" w:ascii="Times New Roman" w:hAnsi="Times New Roman" w:eastAsia="宋体" w:cs="Times New Roman"/>
                <w:kern w:val="2"/>
                <w:sz w:val="24"/>
                <w:szCs w:val="24"/>
                <w:lang w:val="en-US" w:eastAsia="zh-CN" w:bidi="ar-SA"/>
              </w:rPr>
              <w:t>与交流、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139EBD89">
            <w:pPr>
              <w:numPr>
                <w:ilvl w:val="0"/>
                <w:numId w:val="49"/>
              </w:numPr>
              <w:ind w:left="360" w:hanging="360"/>
              <w:rPr>
                <w:rFonts w:hint="eastAsia"/>
                <w:sz w:val="24"/>
              </w:rPr>
            </w:pPr>
            <w:r>
              <w:rPr>
                <w:rFonts w:hint="eastAsia"/>
                <w:sz w:val="24"/>
              </w:rPr>
              <w:t>新</w:t>
            </w:r>
            <w:r>
              <w:rPr>
                <w:sz w:val="24"/>
              </w:rPr>
              <w:t>规程、规范学习应用；试验方法、技能培训</w:t>
            </w:r>
            <w:r>
              <w:rPr>
                <w:rFonts w:hint="eastAsia"/>
                <w:sz w:val="24"/>
              </w:rPr>
              <w:t>。</w:t>
            </w:r>
          </w:p>
          <w:p w14:paraId="7197F043">
            <w:pPr>
              <w:numPr>
                <w:ilvl w:val="0"/>
                <w:numId w:val="49"/>
              </w:numPr>
              <w:ind w:left="360" w:hanging="360"/>
              <w:rPr>
                <w:rFonts w:hint="eastAsia"/>
                <w:sz w:val="24"/>
              </w:rPr>
            </w:pPr>
            <w:r>
              <w:rPr>
                <w:sz w:val="24"/>
              </w:rPr>
              <w:t>培训方式：培训班、现场培训、现场技术指导、现场专题技术分析</w:t>
            </w:r>
            <w:r>
              <w:rPr>
                <w:rFonts w:hint="eastAsia"/>
                <w:sz w:val="24"/>
              </w:rPr>
              <w:t>等。</w:t>
            </w:r>
          </w:p>
          <w:p w14:paraId="4D8112D7">
            <w:pPr>
              <w:numPr>
                <w:ilvl w:val="0"/>
                <w:numId w:val="49"/>
              </w:numPr>
              <w:ind w:left="360" w:hanging="360"/>
              <w:rPr>
                <w:rFonts w:hint="eastAsia"/>
                <w:sz w:val="24"/>
              </w:rPr>
            </w:pPr>
            <w:r>
              <w:rPr>
                <w:rFonts w:hint="eastAsia"/>
                <w:sz w:val="24"/>
              </w:rPr>
              <w:t>协助、指导甲方计量标准装置建标工作，计量检定员持证培训、考核及取证工作。</w:t>
            </w:r>
          </w:p>
          <w:p w14:paraId="745B1493">
            <w:pPr>
              <w:numPr>
                <w:ilvl w:val="0"/>
                <w:numId w:val="49"/>
              </w:numPr>
              <w:ind w:left="360" w:hanging="360"/>
              <w:rPr>
                <w:rFonts w:hint="eastAsia"/>
                <w:sz w:val="24"/>
              </w:rPr>
            </w:pPr>
            <w:r>
              <w:rPr>
                <w:rFonts w:hint="eastAsia" w:ascii="宋体" w:hAnsi="宋体"/>
                <w:sz w:val="24"/>
              </w:rPr>
              <w:t>每年至少提供计量有关技术情报、最新行业技术标准、新工艺等方面信息1批次。</w:t>
            </w:r>
          </w:p>
        </w:tc>
        <w:tc>
          <w:tcPr>
            <w:tcW w:w="2700" w:type="dxa"/>
            <w:tcBorders>
              <w:top w:val="nil"/>
              <w:left w:val="nil"/>
              <w:bottom w:val="single" w:color="auto" w:sz="4" w:space="0"/>
              <w:right w:val="single" w:color="auto" w:sz="4" w:space="0"/>
            </w:tcBorders>
            <w:noWrap w:val="0"/>
            <w:vAlign w:val="top"/>
          </w:tcPr>
          <w:p w14:paraId="5909E534">
            <w:pPr>
              <w:rPr>
                <w:sz w:val="24"/>
              </w:rPr>
            </w:pPr>
          </w:p>
        </w:tc>
      </w:tr>
      <w:tr w14:paraId="4BBDCA18">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4B2EF1BA">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24EF91C2">
            <w:pPr>
              <w:widowControl w:val="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动</w:t>
            </w:r>
            <w:r>
              <w:rPr>
                <w:rFonts w:ascii="Times New Roman" w:hAnsi="Times New Roman" w:eastAsia="宋体" w:cs="Times New Roman"/>
                <w:kern w:val="2"/>
                <w:sz w:val="24"/>
                <w:szCs w:val="24"/>
                <w:lang w:val="en-US" w:eastAsia="zh-CN" w:bidi="ar-SA"/>
              </w:rPr>
              <w:t>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1B20C131">
            <w:pPr>
              <w:numPr>
                <w:ilvl w:val="0"/>
                <w:numId w:val="50"/>
              </w:numPr>
              <w:ind w:left="360" w:hanging="360"/>
              <w:rPr>
                <w:rFonts w:hint="eastAsia"/>
                <w:sz w:val="24"/>
              </w:rPr>
            </w:pPr>
            <w:r>
              <w:rPr>
                <w:sz w:val="24"/>
              </w:rPr>
              <w:t>现场检查运行日志、试验报告、缺陷处理、</w:t>
            </w:r>
            <w:r>
              <w:rPr>
                <w:rFonts w:hint="eastAsia"/>
                <w:sz w:val="24"/>
              </w:rPr>
              <w:t>计量监控</w:t>
            </w:r>
            <w:r>
              <w:rPr>
                <w:sz w:val="24"/>
              </w:rPr>
              <w:t>规程执行情况</w:t>
            </w:r>
            <w:r>
              <w:rPr>
                <w:rFonts w:hint="eastAsia"/>
                <w:sz w:val="24"/>
              </w:rPr>
              <w:t>，提出整改建议及措施。</w:t>
            </w:r>
          </w:p>
          <w:p w14:paraId="7B148E22">
            <w:pPr>
              <w:numPr>
                <w:ilvl w:val="0"/>
                <w:numId w:val="50"/>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799A09D9">
            <w:pPr>
              <w:rPr>
                <w:rFonts w:hint="eastAsia"/>
                <w:sz w:val="24"/>
              </w:rPr>
            </w:pPr>
            <w:r>
              <w:rPr>
                <w:sz w:val="24"/>
              </w:rPr>
              <w:t>现场检查不少于3天</w:t>
            </w:r>
            <w:r>
              <w:rPr>
                <w:rFonts w:hint="eastAsia"/>
                <w:sz w:val="24"/>
              </w:rPr>
              <w:t>。</w:t>
            </w:r>
          </w:p>
        </w:tc>
      </w:tr>
      <w:tr w14:paraId="57B76A24">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0E0968C1">
            <w:pPr>
              <w:jc w:val="center"/>
              <w:rPr>
                <w:sz w:val="24"/>
              </w:rPr>
            </w:pPr>
            <w:r>
              <w:rPr>
                <w:rFonts w:hint="eastAsia"/>
                <w:sz w:val="24"/>
              </w:rPr>
              <w:t>4</w:t>
            </w:r>
          </w:p>
        </w:tc>
        <w:tc>
          <w:tcPr>
            <w:tcW w:w="5364" w:type="dxa"/>
            <w:tcBorders>
              <w:top w:val="single" w:color="auto" w:sz="4" w:space="0"/>
              <w:left w:val="nil"/>
              <w:bottom w:val="single" w:color="auto" w:sz="4" w:space="0"/>
              <w:right w:val="single" w:color="auto" w:sz="4" w:space="0"/>
            </w:tcBorders>
            <w:noWrap w:val="0"/>
            <w:vAlign w:val="center"/>
          </w:tcPr>
          <w:p w14:paraId="060E6117">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77B707A2">
            <w:pPr>
              <w:numPr>
                <w:ilvl w:val="0"/>
                <w:numId w:val="51"/>
              </w:numPr>
              <w:ind w:left="360" w:hanging="360"/>
              <w:rPr>
                <w:rFonts w:hint="eastAsia"/>
                <w:sz w:val="24"/>
              </w:rPr>
            </w:pPr>
            <w:r>
              <w:rPr>
                <w:sz w:val="24"/>
              </w:rPr>
              <w:t>协助进行事故或异常情况调查分析，并提出处理意见和反事故措施</w:t>
            </w:r>
            <w:r>
              <w:rPr>
                <w:rFonts w:hint="eastAsia"/>
                <w:sz w:val="24"/>
              </w:rPr>
              <w:t>。</w:t>
            </w:r>
          </w:p>
          <w:p w14:paraId="3307770D">
            <w:pPr>
              <w:numPr>
                <w:ilvl w:val="0"/>
                <w:numId w:val="51"/>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，根据收到的信息进行分析，为事故处理提供技术支持，按甲方要求</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091AC12E">
            <w:pPr>
              <w:numPr>
                <w:ilvl w:val="0"/>
                <w:numId w:val="51"/>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378074F3">
            <w:pPr>
              <w:rPr>
                <w:rFonts w:hint="eastAsia"/>
                <w:sz w:val="24"/>
              </w:rPr>
            </w:pPr>
          </w:p>
        </w:tc>
      </w:tr>
    </w:tbl>
    <w:p w14:paraId="16DA9291">
      <w:pPr>
        <w:spacing w:line="360" w:lineRule="auto"/>
        <w:rPr>
          <w:rFonts w:hint="eastAsia"/>
          <w:sz w:val="24"/>
        </w:rPr>
      </w:pPr>
    </w:p>
    <w:p w14:paraId="5D09E6D6">
      <w:pPr>
        <w:spacing w:before="187" w:line="360" w:lineRule="auto"/>
        <w:rPr>
          <w:rFonts w:hint="eastAsia"/>
          <w:b/>
          <w:sz w:val="24"/>
        </w:rPr>
      </w:pPr>
      <w:r>
        <w:rPr>
          <w:rFonts w:hint="eastAsia"/>
          <w:b/>
          <w:sz w:val="24"/>
        </w:rPr>
        <w:t>十三、</w:t>
      </w:r>
      <w:r>
        <w:rPr>
          <w:b/>
          <w:sz w:val="24"/>
        </w:rPr>
        <w:t>专业：</w:t>
      </w:r>
      <w:r>
        <w:rPr>
          <w:rFonts w:hint="eastAsia"/>
          <w:b/>
          <w:sz w:val="24"/>
        </w:rPr>
        <w:t>特种设备（乙方具备资质条件的工作内容）</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26FEE9E1">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42905097">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79EF0DD7">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45DB1D10">
            <w:pPr>
              <w:ind w:left="-2299" w:leftChars="-1095" w:firstLine="2628" w:firstLineChars="1095"/>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3FDED31C">
            <w:pPr>
              <w:jc w:val="center"/>
              <w:rPr>
                <w:rFonts w:eastAsia="黑体"/>
                <w:sz w:val="24"/>
              </w:rPr>
            </w:pPr>
            <w:r>
              <w:rPr>
                <w:rFonts w:eastAsia="黑体"/>
                <w:sz w:val="24"/>
              </w:rPr>
              <w:t>备注</w:t>
            </w:r>
          </w:p>
        </w:tc>
      </w:tr>
      <w:tr w14:paraId="13E991FD">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1D345B20">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60EE9313">
            <w:pPr>
              <w:rPr>
                <w:sz w:val="24"/>
              </w:rPr>
            </w:pPr>
            <w:r>
              <w:rPr>
                <w:b/>
                <w:sz w:val="24"/>
              </w:rPr>
              <w:t>归口管理：</w:t>
            </w:r>
            <w:r>
              <w:rPr>
                <w:sz w:val="24"/>
              </w:rPr>
              <w:t>对甲方</w:t>
            </w:r>
            <w:r>
              <w:rPr>
                <w:rFonts w:hint="eastAsia"/>
                <w:sz w:val="24"/>
              </w:rPr>
              <w:t>电梯、起重吊车等特种设备</w:t>
            </w:r>
            <w:r>
              <w:rPr>
                <w:sz w:val="24"/>
              </w:rPr>
              <w:t>进行技术监</w:t>
            </w:r>
            <w:r>
              <w:rPr>
                <w:rFonts w:hint="eastAsia"/>
                <w:sz w:val="24"/>
              </w:rPr>
              <w:t>控管理。</w:t>
            </w:r>
          </w:p>
        </w:tc>
        <w:tc>
          <w:tcPr>
            <w:tcW w:w="5386" w:type="dxa"/>
            <w:tcBorders>
              <w:top w:val="nil"/>
              <w:left w:val="nil"/>
              <w:bottom w:val="single" w:color="auto" w:sz="4" w:space="0"/>
              <w:right w:val="single" w:color="auto" w:sz="4" w:space="0"/>
            </w:tcBorders>
            <w:noWrap w:val="0"/>
            <w:vAlign w:val="top"/>
          </w:tcPr>
          <w:p w14:paraId="61DF71BC">
            <w:pPr>
              <w:numPr>
                <w:ilvl w:val="0"/>
                <w:numId w:val="52"/>
              </w:numPr>
              <w:ind w:left="360" w:hanging="360"/>
              <w:rPr>
                <w:rFonts w:ascii="宋体" w:hAnsi="宋体"/>
                <w:sz w:val="24"/>
              </w:rPr>
            </w:pPr>
            <w:r>
              <w:rPr>
                <w:rFonts w:hAnsi="宋体"/>
                <w:sz w:val="24"/>
              </w:rPr>
              <w:t>按</w:t>
            </w:r>
            <w:r>
              <w:rPr>
                <w:rFonts w:hint="eastAsia"/>
                <w:sz w:val="24"/>
              </w:rPr>
              <w:t>《广西电力技术专业监控考核办法</w:t>
            </w:r>
            <w:r>
              <w:rPr>
                <w:rFonts w:hint="eastAsia" w:ascii="宋体" w:hAnsi="宋体"/>
                <w:sz w:val="24"/>
              </w:rPr>
              <w:t>》</w:t>
            </w:r>
            <w:r>
              <w:rPr>
                <w:rFonts w:hAnsi="宋体"/>
                <w:sz w:val="24"/>
              </w:rPr>
              <w:t>进行</w:t>
            </w:r>
            <w:r>
              <w:rPr>
                <w:sz w:val="24"/>
              </w:rPr>
              <w:t>技术监控管理。</w:t>
            </w:r>
          </w:p>
        </w:tc>
        <w:tc>
          <w:tcPr>
            <w:tcW w:w="2700" w:type="dxa"/>
            <w:tcBorders>
              <w:top w:val="nil"/>
              <w:left w:val="nil"/>
              <w:bottom w:val="single" w:color="auto" w:sz="4" w:space="0"/>
              <w:right w:val="single" w:color="auto" w:sz="4" w:space="0"/>
            </w:tcBorders>
            <w:noWrap w:val="0"/>
            <w:vAlign w:val="top"/>
          </w:tcPr>
          <w:p w14:paraId="18C61918">
            <w:pPr>
              <w:rPr>
                <w:sz w:val="24"/>
              </w:rPr>
            </w:pPr>
          </w:p>
        </w:tc>
      </w:tr>
      <w:tr w14:paraId="34EDE916">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7DE6C010">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0E9F49E5">
            <w:pPr>
              <w:rPr>
                <w:sz w:val="24"/>
              </w:rPr>
            </w:pPr>
            <w:r>
              <w:rPr>
                <w:b/>
                <w:sz w:val="24"/>
              </w:rPr>
              <w:t>方案审查：</w:t>
            </w:r>
            <w:r>
              <w:rPr>
                <w:rFonts w:hint="eastAsia"/>
                <w:sz w:val="24"/>
              </w:rPr>
              <w:t>对送达的</w:t>
            </w:r>
            <w:r>
              <w:rPr>
                <w:sz w:val="24"/>
              </w:rPr>
              <w:t>大小修</w:t>
            </w:r>
            <w:r>
              <w:rPr>
                <w:rFonts w:hint="eastAsia"/>
                <w:sz w:val="24"/>
              </w:rPr>
              <w:t>及</w:t>
            </w:r>
            <w:r>
              <w:rPr>
                <w:sz w:val="24"/>
              </w:rPr>
              <w:t>预防性试验方案</w:t>
            </w:r>
            <w:r>
              <w:rPr>
                <w:rFonts w:hint="eastAsia"/>
                <w:sz w:val="24"/>
              </w:rPr>
              <w:t>、报告进行</w:t>
            </w:r>
            <w:r>
              <w:rPr>
                <w:sz w:val="24"/>
              </w:rPr>
              <w:t>审核</w:t>
            </w:r>
            <w:r>
              <w:rPr>
                <w:rFonts w:hint="eastAsia"/>
                <w:sz w:val="24"/>
              </w:rPr>
              <w:t>。</w:t>
            </w:r>
          </w:p>
        </w:tc>
        <w:tc>
          <w:tcPr>
            <w:tcW w:w="5386" w:type="dxa"/>
            <w:tcBorders>
              <w:top w:val="nil"/>
              <w:left w:val="nil"/>
              <w:bottom w:val="single" w:color="auto" w:sz="4" w:space="0"/>
              <w:right w:val="single" w:color="auto" w:sz="4" w:space="0"/>
            </w:tcBorders>
            <w:noWrap w:val="0"/>
            <w:vAlign w:val="center"/>
          </w:tcPr>
          <w:p w14:paraId="4FC5CF95">
            <w:pPr>
              <w:numPr>
                <w:ilvl w:val="0"/>
                <w:numId w:val="52"/>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5B8FB73C">
            <w:pPr>
              <w:numPr>
                <w:ilvl w:val="0"/>
                <w:numId w:val="52"/>
              </w:numPr>
              <w:ind w:left="360" w:hanging="360"/>
              <w:rPr>
                <w:rFonts w:hint="eastAsia"/>
                <w:sz w:val="24"/>
              </w:rPr>
            </w:pPr>
            <w:r>
              <w:rPr>
                <w:sz w:val="24"/>
              </w:rPr>
              <w:t>大小修</w:t>
            </w:r>
            <w:r>
              <w:rPr>
                <w:rFonts w:hint="eastAsia"/>
                <w:sz w:val="24"/>
              </w:rPr>
              <w:t>期间应派员对特种设备监督管理进行技术指导，</w:t>
            </w:r>
            <w:r>
              <w:rPr>
                <w:sz w:val="24"/>
              </w:rPr>
              <w:t>发现问题</w:t>
            </w:r>
            <w:r>
              <w:rPr>
                <w:rFonts w:hint="eastAsia"/>
                <w:sz w:val="24"/>
              </w:rPr>
              <w:t>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07414556">
            <w:pPr>
              <w:rPr>
                <w:sz w:val="24"/>
              </w:rPr>
            </w:pPr>
          </w:p>
        </w:tc>
      </w:tr>
      <w:tr w14:paraId="5034D605">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3AF7445">
            <w:pPr>
              <w:jc w:val="center"/>
              <w:rPr>
                <w:sz w:val="24"/>
              </w:rPr>
            </w:pPr>
            <w:r>
              <w:rPr>
                <w:rFonts w:hint="eastAsia"/>
                <w:sz w:val="24"/>
              </w:rPr>
              <w:t>3</w:t>
            </w:r>
          </w:p>
        </w:tc>
        <w:tc>
          <w:tcPr>
            <w:tcW w:w="5364" w:type="dxa"/>
            <w:tcBorders>
              <w:top w:val="nil"/>
              <w:left w:val="nil"/>
              <w:bottom w:val="single" w:color="auto" w:sz="4" w:space="0"/>
              <w:right w:val="single" w:color="auto" w:sz="4" w:space="0"/>
            </w:tcBorders>
            <w:noWrap w:val="0"/>
            <w:vAlign w:val="center"/>
          </w:tcPr>
          <w:p w14:paraId="5B6925D9">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b/>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对特种设备管理</w:t>
            </w:r>
            <w:r>
              <w:rPr>
                <w:rFonts w:ascii="Times New Roman" w:hAnsi="Times New Roman" w:eastAsia="宋体" w:cs="Times New Roman"/>
                <w:kern w:val="2"/>
                <w:sz w:val="24"/>
                <w:szCs w:val="24"/>
                <w:lang w:val="en-US" w:eastAsia="zh-CN" w:bidi="ar-SA"/>
              </w:rPr>
              <w:t>专业人员进行持证</w:t>
            </w:r>
            <w:r>
              <w:rPr>
                <w:rFonts w:hint="eastAsia" w:ascii="Times New Roman" w:hAnsi="Times New Roman" w:eastAsia="宋体" w:cs="Times New Roman"/>
                <w:kern w:val="2"/>
                <w:sz w:val="24"/>
                <w:szCs w:val="24"/>
                <w:lang w:val="en-US" w:eastAsia="zh-CN" w:bidi="ar-SA"/>
              </w:rPr>
              <w:t>与交流、</w:t>
            </w:r>
            <w:r>
              <w:rPr>
                <w:rFonts w:ascii="Times New Roman" w:hAnsi="Times New Roman" w:eastAsia="宋体" w:cs="Times New Roman"/>
                <w:kern w:val="2"/>
                <w:sz w:val="24"/>
                <w:szCs w:val="24"/>
                <w:lang w:val="en-US" w:eastAsia="zh-CN" w:bidi="ar-SA"/>
              </w:rPr>
              <w:t>培训工作</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0F5192AF">
            <w:pPr>
              <w:numPr>
                <w:ilvl w:val="0"/>
                <w:numId w:val="53"/>
              </w:numPr>
              <w:ind w:left="360" w:hanging="360"/>
              <w:rPr>
                <w:rFonts w:hint="eastAsia"/>
                <w:sz w:val="24"/>
              </w:rPr>
            </w:pPr>
            <w:r>
              <w:rPr>
                <w:rFonts w:hint="eastAsia"/>
                <w:sz w:val="24"/>
              </w:rPr>
              <w:t>新</w:t>
            </w:r>
            <w:r>
              <w:rPr>
                <w:sz w:val="24"/>
              </w:rPr>
              <w:t>规程、规范学习应用；试验方法、技能培训</w:t>
            </w:r>
            <w:r>
              <w:rPr>
                <w:rFonts w:hint="eastAsia"/>
                <w:sz w:val="24"/>
              </w:rPr>
              <w:t>。</w:t>
            </w:r>
          </w:p>
          <w:p w14:paraId="712DDECB">
            <w:pPr>
              <w:numPr>
                <w:ilvl w:val="0"/>
                <w:numId w:val="53"/>
              </w:numPr>
              <w:ind w:left="360" w:hanging="360"/>
              <w:rPr>
                <w:rFonts w:hint="eastAsia"/>
                <w:sz w:val="24"/>
              </w:rPr>
            </w:pPr>
            <w:r>
              <w:rPr>
                <w:sz w:val="24"/>
              </w:rPr>
              <w:t>培训方式：培训班、现场培训、现场技术指导、现场专题技术分析</w:t>
            </w:r>
            <w:r>
              <w:rPr>
                <w:rFonts w:hint="eastAsia"/>
                <w:sz w:val="24"/>
              </w:rPr>
              <w:t>等。</w:t>
            </w:r>
          </w:p>
          <w:p w14:paraId="55C1B839">
            <w:pPr>
              <w:numPr>
                <w:ilvl w:val="0"/>
                <w:numId w:val="53"/>
              </w:numPr>
              <w:ind w:left="360" w:hanging="360"/>
              <w:rPr>
                <w:rFonts w:hint="eastAsia"/>
                <w:sz w:val="24"/>
              </w:rPr>
            </w:pPr>
            <w:r>
              <w:rPr>
                <w:rFonts w:hint="eastAsia" w:ascii="宋体" w:hAnsi="宋体"/>
                <w:sz w:val="24"/>
              </w:rPr>
              <w:t>提供</w:t>
            </w:r>
            <w:r>
              <w:rPr>
                <w:rFonts w:hint="eastAsia"/>
              </w:rPr>
              <w:t>特种设备</w:t>
            </w:r>
            <w:r>
              <w:rPr>
                <w:rFonts w:hint="eastAsia" w:ascii="宋体" w:hAnsi="宋体"/>
                <w:sz w:val="24"/>
              </w:rPr>
              <w:t>有关技术情报、最新行业技术标准、新工艺等方面信息。</w:t>
            </w:r>
          </w:p>
        </w:tc>
        <w:tc>
          <w:tcPr>
            <w:tcW w:w="2700" w:type="dxa"/>
            <w:tcBorders>
              <w:top w:val="nil"/>
              <w:left w:val="nil"/>
              <w:bottom w:val="single" w:color="auto" w:sz="4" w:space="0"/>
              <w:right w:val="single" w:color="auto" w:sz="4" w:space="0"/>
            </w:tcBorders>
            <w:noWrap w:val="0"/>
            <w:vAlign w:val="top"/>
          </w:tcPr>
          <w:p w14:paraId="1D1E1653">
            <w:pPr>
              <w:rPr>
                <w:sz w:val="24"/>
              </w:rPr>
            </w:pPr>
          </w:p>
        </w:tc>
      </w:tr>
      <w:tr w14:paraId="64036DED">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AB44EFB">
            <w:pPr>
              <w:jc w:val="center"/>
              <w:rPr>
                <w:sz w:val="24"/>
              </w:rPr>
            </w:pPr>
            <w:r>
              <w:rPr>
                <w:rFonts w:hint="eastAsia"/>
                <w:sz w:val="24"/>
              </w:rPr>
              <w:t>4</w:t>
            </w:r>
          </w:p>
        </w:tc>
        <w:tc>
          <w:tcPr>
            <w:tcW w:w="5364" w:type="dxa"/>
            <w:tcBorders>
              <w:top w:val="nil"/>
              <w:left w:val="nil"/>
              <w:bottom w:val="single" w:color="auto" w:sz="4" w:space="0"/>
              <w:right w:val="single" w:color="auto" w:sz="4" w:space="0"/>
            </w:tcBorders>
            <w:noWrap w:val="0"/>
            <w:vAlign w:val="center"/>
          </w:tcPr>
          <w:p w14:paraId="41E500BF">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b/>
                <w:kern w:val="2"/>
                <w:sz w:val="24"/>
                <w:szCs w:val="24"/>
                <w:lang w:val="en-US" w:eastAsia="zh-CN" w:bidi="ar-SA"/>
              </w:rPr>
              <w:t>动态检查：</w:t>
            </w:r>
            <w:r>
              <w:rPr>
                <w:rFonts w:ascii="Times New Roman" w:hAnsi="Times New Roman" w:eastAsia="宋体" w:cs="Times New Roman"/>
                <w:kern w:val="2"/>
                <w:sz w:val="24"/>
                <w:szCs w:val="24"/>
                <w:lang w:val="en-US" w:eastAsia="zh-CN" w:bidi="ar-SA"/>
              </w:rPr>
              <w:t>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center"/>
          </w:tcPr>
          <w:p w14:paraId="571938F8">
            <w:pPr>
              <w:numPr>
                <w:ilvl w:val="0"/>
                <w:numId w:val="54"/>
              </w:numPr>
              <w:ind w:left="360" w:hanging="360"/>
              <w:rPr>
                <w:rFonts w:hint="eastAsia"/>
                <w:sz w:val="24"/>
              </w:rPr>
            </w:pPr>
            <w:r>
              <w:rPr>
                <w:sz w:val="24"/>
              </w:rPr>
              <w:t>现场检查运行日志、试验报告、缺陷处理、</w:t>
            </w:r>
            <w:r>
              <w:rPr>
                <w:rFonts w:hint="eastAsia"/>
                <w:sz w:val="24"/>
              </w:rPr>
              <w:t>监控</w:t>
            </w:r>
            <w:r>
              <w:rPr>
                <w:sz w:val="24"/>
              </w:rPr>
              <w:t>规程执行情况</w:t>
            </w:r>
            <w:r>
              <w:rPr>
                <w:rFonts w:hint="eastAsia"/>
                <w:sz w:val="24"/>
              </w:rPr>
              <w:t>。</w:t>
            </w:r>
          </w:p>
          <w:p w14:paraId="72C31682">
            <w:pPr>
              <w:numPr>
                <w:ilvl w:val="0"/>
                <w:numId w:val="54"/>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3B2200C7">
            <w:pPr>
              <w:rPr>
                <w:rFonts w:hint="eastAsia"/>
                <w:sz w:val="24"/>
              </w:rPr>
            </w:pPr>
            <w:r>
              <w:rPr>
                <w:sz w:val="24"/>
              </w:rPr>
              <w:t>现场检查不少于3天</w:t>
            </w:r>
            <w:r>
              <w:rPr>
                <w:rFonts w:hint="eastAsia"/>
                <w:sz w:val="24"/>
              </w:rPr>
              <w:t>。</w:t>
            </w:r>
          </w:p>
        </w:tc>
      </w:tr>
      <w:tr w14:paraId="00DDBECA">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109513EC">
            <w:pPr>
              <w:jc w:val="center"/>
              <w:rPr>
                <w:sz w:val="24"/>
              </w:rPr>
            </w:pPr>
            <w:r>
              <w:rPr>
                <w:rFonts w:hint="eastAsia"/>
                <w:sz w:val="24"/>
              </w:rPr>
              <w:t>5</w:t>
            </w:r>
          </w:p>
        </w:tc>
        <w:tc>
          <w:tcPr>
            <w:tcW w:w="5364" w:type="dxa"/>
            <w:tcBorders>
              <w:top w:val="single" w:color="auto" w:sz="4" w:space="0"/>
              <w:left w:val="nil"/>
              <w:bottom w:val="single" w:color="auto" w:sz="4" w:space="0"/>
              <w:right w:val="single" w:color="auto" w:sz="4" w:space="0"/>
            </w:tcBorders>
            <w:noWrap w:val="0"/>
            <w:vAlign w:val="center"/>
          </w:tcPr>
          <w:p w14:paraId="79E6E275">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b/>
                <w:kern w:val="2"/>
                <w:sz w:val="24"/>
                <w:szCs w:val="24"/>
                <w:lang w:val="en-US" w:eastAsia="zh-CN" w:bidi="ar-SA"/>
              </w:rPr>
              <w:t>事故分析：</w:t>
            </w:r>
            <w:r>
              <w:rPr>
                <w:rFonts w:ascii="Times New Roman" w:hAnsi="Times New Roman" w:eastAsia="宋体" w:cs="Times New Roman"/>
                <w:kern w:val="2"/>
                <w:sz w:val="24"/>
                <w:szCs w:val="24"/>
                <w:lang w:val="en-US" w:eastAsia="zh-CN" w:bidi="ar-SA"/>
              </w:rPr>
              <w:t>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7B4AE01C">
            <w:pPr>
              <w:numPr>
                <w:ilvl w:val="0"/>
                <w:numId w:val="55"/>
              </w:numPr>
              <w:ind w:left="360" w:hanging="360"/>
              <w:rPr>
                <w:rFonts w:hint="eastAsia" w:ascii="宋体" w:hAnsi="宋体"/>
                <w:sz w:val="24"/>
              </w:rPr>
            </w:pP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，根据收到的信息进行分析，为事故处理提供技术支持，根据甲方要求及</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3DA601DA">
            <w:pPr>
              <w:numPr>
                <w:ilvl w:val="0"/>
                <w:numId w:val="55"/>
              </w:numPr>
              <w:ind w:left="360" w:hanging="360"/>
              <w:rPr>
                <w:sz w:val="24"/>
              </w:rPr>
            </w:pPr>
            <w:r>
              <w:rPr>
                <w:rFonts w:hint="eastAsia" w:ascii="宋体" w:hAnsi="宋体"/>
                <w:spacing w:val="10"/>
                <w:sz w:val="24"/>
              </w:rPr>
              <w:t>对于甲方提出的现场技术支持，</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543F4A42">
            <w:pPr>
              <w:rPr>
                <w:rFonts w:hint="eastAsia"/>
                <w:sz w:val="24"/>
              </w:rPr>
            </w:pPr>
          </w:p>
        </w:tc>
      </w:tr>
    </w:tbl>
    <w:p w14:paraId="05EB8FF4">
      <w:pPr>
        <w:spacing w:line="360" w:lineRule="auto"/>
        <w:rPr>
          <w:rFonts w:hint="eastAsia"/>
          <w:sz w:val="24"/>
        </w:rPr>
      </w:pPr>
    </w:p>
    <w:p w14:paraId="52344E8F">
      <w:pPr>
        <w:spacing w:line="360" w:lineRule="auto"/>
        <w:rPr>
          <w:rFonts w:hint="eastAsia"/>
          <w:sz w:val="24"/>
        </w:rPr>
      </w:pPr>
      <w:r>
        <w:rPr>
          <w:rFonts w:hint="eastAsia"/>
          <w:b/>
          <w:sz w:val="24"/>
        </w:rPr>
        <w:t>十四、</w:t>
      </w:r>
      <w:r>
        <w:rPr>
          <w:b/>
          <w:sz w:val="24"/>
        </w:rPr>
        <w:t>专业：</w:t>
      </w:r>
      <w:r>
        <w:rPr>
          <w:rFonts w:hint="eastAsia"/>
          <w:b/>
          <w:sz w:val="24"/>
        </w:rPr>
        <w:t>烟气脱酸、脱硝、除尘及重金属脱除</w:t>
      </w:r>
    </w:p>
    <w:tbl>
      <w:tblPr>
        <w:tblStyle w:val="27"/>
        <w:tblW w:w="0" w:type="auto"/>
        <w:tblInd w:w="-15" w:type="dxa"/>
        <w:tblLayout w:type="fixed"/>
        <w:tblCellMar>
          <w:top w:w="0" w:type="dxa"/>
          <w:left w:w="0" w:type="dxa"/>
          <w:bottom w:w="0" w:type="dxa"/>
          <w:right w:w="0" w:type="dxa"/>
        </w:tblCellMar>
      </w:tblPr>
      <w:tblGrid>
        <w:gridCol w:w="605"/>
        <w:gridCol w:w="5364"/>
        <w:gridCol w:w="5386"/>
        <w:gridCol w:w="2700"/>
      </w:tblGrid>
      <w:tr w14:paraId="3504213B">
        <w:tblPrEx>
          <w:tblCellMar>
            <w:top w:w="0" w:type="dxa"/>
            <w:left w:w="0" w:type="dxa"/>
            <w:bottom w:w="0" w:type="dxa"/>
            <w:right w:w="0" w:type="dxa"/>
          </w:tblCellMar>
        </w:tblPrEx>
        <w:trPr>
          <w:trHeight w:val="375" w:hRule="atLeast"/>
          <w:tblHeader/>
        </w:trPr>
        <w:tc>
          <w:tcPr>
            <w:tcW w:w="605" w:type="dxa"/>
            <w:tcBorders>
              <w:top w:val="single" w:color="auto" w:sz="4" w:space="0"/>
              <w:left w:val="single" w:color="auto" w:sz="4" w:space="0"/>
              <w:bottom w:val="single" w:color="auto" w:sz="4" w:space="0"/>
              <w:right w:val="single" w:color="auto" w:sz="4" w:space="0"/>
            </w:tcBorders>
            <w:noWrap w:val="0"/>
            <w:vAlign w:val="center"/>
          </w:tcPr>
          <w:p w14:paraId="217D8FC3">
            <w:pPr>
              <w:jc w:val="center"/>
              <w:rPr>
                <w:rFonts w:eastAsia="黑体"/>
                <w:sz w:val="24"/>
              </w:rPr>
            </w:pPr>
            <w:r>
              <w:rPr>
                <w:rFonts w:eastAsia="黑体"/>
                <w:sz w:val="24"/>
              </w:rPr>
              <w:t>序号</w:t>
            </w:r>
          </w:p>
        </w:tc>
        <w:tc>
          <w:tcPr>
            <w:tcW w:w="5364" w:type="dxa"/>
            <w:tcBorders>
              <w:top w:val="single" w:color="auto" w:sz="4" w:space="0"/>
              <w:left w:val="nil"/>
              <w:bottom w:val="single" w:color="auto" w:sz="4" w:space="0"/>
              <w:right w:val="single" w:color="auto" w:sz="4" w:space="0"/>
            </w:tcBorders>
            <w:noWrap w:val="0"/>
            <w:vAlign w:val="center"/>
          </w:tcPr>
          <w:p w14:paraId="712D4456">
            <w:pPr>
              <w:jc w:val="center"/>
              <w:rPr>
                <w:rFonts w:eastAsia="黑体"/>
                <w:sz w:val="24"/>
              </w:rPr>
            </w:pPr>
            <w:r>
              <w:rPr>
                <w:rFonts w:eastAsia="黑体"/>
                <w:sz w:val="24"/>
              </w:rPr>
              <w:t>工作范围</w:t>
            </w:r>
          </w:p>
        </w:tc>
        <w:tc>
          <w:tcPr>
            <w:tcW w:w="5386" w:type="dxa"/>
            <w:tcBorders>
              <w:top w:val="single" w:color="auto" w:sz="4" w:space="0"/>
              <w:left w:val="nil"/>
              <w:bottom w:val="single" w:color="auto" w:sz="4" w:space="0"/>
              <w:right w:val="single" w:color="auto" w:sz="4" w:space="0"/>
            </w:tcBorders>
            <w:noWrap w:val="0"/>
            <w:vAlign w:val="center"/>
          </w:tcPr>
          <w:p w14:paraId="7D560429">
            <w:pPr>
              <w:jc w:val="center"/>
              <w:rPr>
                <w:rFonts w:eastAsia="黑体"/>
                <w:sz w:val="24"/>
              </w:rPr>
            </w:pPr>
            <w:r>
              <w:rPr>
                <w:rFonts w:eastAsia="黑体"/>
                <w:sz w:val="24"/>
              </w:rPr>
              <w:t>工作内容</w:t>
            </w:r>
            <w:r>
              <w:rPr>
                <w:rFonts w:hint="eastAsia" w:eastAsia="黑体"/>
                <w:sz w:val="24"/>
              </w:rPr>
              <w:t>及要求</w:t>
            </w:r>
          </w:p>
        </w:tc>
        <w:tc>
          <w:tcPr>
            <w:tcW w:w="2700" w:type="dxa"/>
            <w:tcBorders>
              <w:top w:val="single" w:color="auto" w:sz="4" w:space="0"/>
              <w:left w:val="nil"/>
              <w:bottom w:val="single" w:color="auto" w:sz="4" w:space="0"/>
              <w:right w:val="single" w:color="auto" w:sz="4" w:space="0"/>
            </w:tcBorders>
            <w:noWrap w:val="0"/>
            <w:vAlign w:val="top"/>
          </w:tcPr>
          <w:p w14:paraId="390D7DC7">
            <w:pPr>
              <w:jc w:val="center"/>
              <w:rPr>
                <w:rFonts w:eastAsia="黑体"/>
                <w:sz w:val="24"/>
              </w:rPr>
            </w:pPr>
            <w:r>
              <w:rPr>
                <w:rFonts w:eastAsia="黑体"/>
                <w:sz w:val="24"/>
              </w:rPr>
              <w:t>备注</w:t>
            </w:r>
          </w:p>
        </w:tc>
      </w:tr>
      <w:tr w14:paraId="22F83E63">
        <w:tblPrEx>
          <w:tblCellMar>
            <w:top w:w="0" w:type="dxa"/>
            <w:left w:w="0" w:type="dxa"/>
            <w:bottom w:w="0" w:type="dxa"/>
            <w:right w:w="0" w:type="dxa"/>
          </w:tblCellMar>
        </w:tblPrEx>
        <w:trPr>
          <w:trHeight w:val="480" w:hRule="atLeast"/>
        </w:trPr>
        <w:tc>
          <w:tcPr>
            <w:tcW w:w="605" w:type="dxa"/>
            <w:tcBorders>
              <w:top w:val="nil"/>
              <w:left w:val="single" w:color="auto" w:sz="4" w:space="0"/>
              <w:bottom w:val="single" w:color="auto" w:sz="4" w:space="0"/>
              <w:right w:val="single" w:color="auto" w:sz="4" w:space="0"/>
            </w:tcBorders>
            <w:noWrap w:val="0"/>
            <w:vAlign w:val="center"/>
          </w:tcPr>
          <w:p w14:paraId="0DC1C373">
            <w:pPr>
              <w:jc w:val="center"/>
              <w:rPr>
                <w:sz w:val="24"/>
              </w:rPr>
            </w:pPr>
            <w:r>
              <w:rPr>
                <w:sz w:val="24"/>
              </w:rPr>
              <w:t>1</w:t>
            </w:r>
          </w:p>
        </w:tc>
        <w:tc>
          <w:tcPr>
            <w:tcW w:w="5364" w:type="dxa"/>
            <w:tcBorders>
              <w:top w:val="nil"/>
              <w:left w:val="nil"/>
              <w:bottom w:val="single" w:color="auto" w:sz="4" w:space="0"/>
              <w:right w:val="single" w:color="auto" w:sz="4" w:space="0"/>
            </w:tcBorders>
            <w:noWrap w:val="0"/>
            <w:vAlign w:val="center"/>
          </w:tcPr>
          <w:p w14:paraId="3A6DA327">
            <w:pPr>
              <w:rPr>
                <w:rFonts w:hint="eastAsia"/>
                <w:b/>
                <w:sz w:val="24"/>
              </w:rPr>
            </w:pPr>
            <w:r>
              <w:rPr>
                <w:b/>
                <w:sz w:val="24"/>
              </w:rPr>
              <w:t>归口管理：</w:t>
            </w:r>
          </w:p>
          <w:p w14:paraId="0A0D0D5A">
            <w:pPr>
              <w:numPr>
                <w:ilvl w:val="0"/>
                <w:numId w:val="56"/>
              </w:numPr>
              <w:ind w:left="360" w:hanging="360"/>
              <w:rPr>
                <w:rFonts w:hint="eastAsia"/>
                <w:sz w:val="24"/>
              </w:rPr>
            </w:pPr>
            <w:r>
              <w:rPr>
                <w:sz w:val="24"/>
              </w:rPr>
              <w:t>甲方</w:t>
            </w:r>
            <w:r>
              <w:rPr>
                <w:rFonts w:hint="eastAsia"/>
                <w:sz w:val="24"/>
              </w:rPr>
              <w:t>脱硫系统</w:t>
            </w:r>
            <w:r>
              <w:rPr>
                <w:sz w:val="24"/>
              </w:rPr>
              <w:t>：</w:t>
            </w:r>
            <w:r>
              <w:rPr>
                <w:rFonts w:hint="eastAsia"/>
                <w:sz w:val="24"/>
              </w:rPr>
              <w:t>烟气系统、石灰浆制备系统、半干法雾化器系统、熟石灰喷射系统、工艺水系统、压缩空气系统、脱酸烟气在线监测系统等</w:t>
            </w:r>
            <w:r>
              <w:rPr>
                <w:sz w:val="24"/>
              </w:rPr>
              <w:t>的技术状况、运行可靠性及检验质量等进行技术监控</w:t>
            </w:r>
            <w:r>
              <w:rPr>
                <w:rFonts w:hint="eastAsia"/>
                <w:sz w:val="24"/>
              </w:rPr>
              <w:t>管理</w:t>
            </w:r>
            <w:r>
              <w:rPr>
                <w:sz w:val="24"/>
              </w:rPr>
              <w:t>。</w:t>
            </w:r>
            <w:r>
              <w:rPr>
                <w:rFonts w:hint="eastAsia"/>
                <w:sz w:val="24"/>
              </w:rPr>
              <w:t xml:space="preserve"> </w:t>
            </w:r>
          </w:p>
          <w:p w14:paraId="7D45ACBF">
            <w:pPr>
              <w:numPr>
                <w:ilvl w:val="0"/>
                <w:numId w:val="56"/>
              </w:numPr>
              <w:ind w:left="360" w:hanging="360"/>
              <w:rPr>
                <w:rFonts w:hint="eastAsia"/>
                <w:sz w:val="24"/>
              </w:rPr>
            </w:pPr>
            <w:r>
              <w:rPr>
                <w:sz w:val="24"/>
              </w:rPr>
              <w:t>甲方</w:t>
            </w:r>
            <w:r>
              <w:rPr>
                <w:rFonts w:hint="eastAsia"/>
                <w:sz w:val="24"/>
              </w:rPr>
              <w:t>脱硝系统</w:t>
            </w:r>
            <w:r>
              <w:rPr>
                <w:sz w:val="24"/>
              </w:rPr>
              <w:t>：</w:t>
            </w:r>
            <w:r>
              <w:rPr>
                <w:rFonts w:hint="eastAsia" w:ascii="Times New Roman" w:eastAsia="宋体"/>
                <w:sz w:val="24"/>
                <w:lang w:val="en-US" w:eastAsia="zh-CN"/>
              </w:rPr>
              <w:t>氨水</w:t>
            </w:r>
            <w:r>
              <w:rPr>
                <w:rFonts w:hint="eastAsia"/>
                <w:sz w:val="24"/>
              </w:rPr>
              <w:t>系统、</w:t>
            </w:r>
            <w:r>
              <w:rPr>
                <w:rFonts w:hint="eastAsia" w:ascii="Times New Roman" w:eastAsia="宋体"/>
                <w:sz w:val="24"/>
                <w:lang w:val="en-US" w:eastAsia="zh-CN"/>
              </w:rPr>
              <w:t>MCU</w:t>
            </w:r>
            <w:r>
              <w:rPr>
                <w:rFonts w:hint="eastAsia"/>
                <w:sz w:val="24"/>
              </w:rPr>
              <w:t>系统、软水系统等</w:t>
            </w:r>
            <w:r>
              <w:rPr>
                <w:sz w:val="24"/>
              </w:rPr>
              <w:t>的技术状况、运行可靠性及检验质量等进行技术监控</w:t>
            </w:r>
            <w:r>
              <w:rPr>
                <w:rFonts w:hint="eastAsia"/>
                <w:sz w:val="24"/>
              </w:rPr>
              <w:t>管理</w:t>
            </w:r>
            <w:r>
              <w:rPr>
                <w:sz w:val="24"/>
              </w:rPr>
              <w:t>。</w:t>
            </w:r>
          </w:p>
          <w:p w14:paraId="655E261F">
            <w:pPr>
              <w:numPr>
                <w:ilvl w:val="0"/>
                <w:numId w:val="56"/>
              </w:numPr>
              <w:ind w:left="360" w:hanging="360"/>
              <w:rPr>
                <w:rFonts w:hint="eastAsia"/>
                <w:sz w:val="24"/>
              </w:rPr>
            </w:pPr>
            <w:r>
              <w:rPr>
                <w:rFonts w:hint="eastAsia"/>
                <w:sz w:val="24"/>
              </w:rPr>
              <w:t>除尘及重金属脱除系统：建议增加除尘、活性炭喷射系统、气力除灰系统设备技术监控管理。</w:t>
            </w:r>
          </w:p>
          <w:p w14:paraId="40046DDC">
            <w:pPr>
              <w:numPr>
                <w:ilvl w:val="0"/>
                <w:numId w:val="56"/>
              </w:numPr>
              <w:ind w:left="360" w:hanging="360"/>
              <w:rPr>
                <w:rFonts w:hint="eastAsia"/>
                <w:sz w:val="24"/>
              </w:rPr>
            </w:pPr>
            <w:r>
              <w:rPr>
                <w:rFonts w:hint="eastAsia"/>
                <w:sz w:val="24"/>
              </w:rPr>
              <w:t>脱酸塔</w:t>
            </w:r>
            <w:r>
              <w:rPr>
                <w:sz w:val="24"/>
              </w:rPr>
              <w:t>重要辅机及主要附属设备：</w:t>
            </w:r>
            <w:r>
              <w:rPr>
                <w:rFonts w:hint="eastAsia"/>
                <w:sz w:val="24"/>
              </w:rPr>
              <w:t>石灰浆制备系统、半干法雾化器系统、熟石灰喷射系统、工艺水系统、压缩空气系统等</w:t>
            </w:r>
            <w:r>
              <w:rPr>
                <w:sz w:val="24"/>
              </w:rPr>
              <w:t>的技术状况、运行可靠性及检验质量等进行技术监控</w:t>
            </w:r>
            <w:r>
              <w:rPr>
                <w:rFonts w:hint="eastAsia"/>
                <w:sz w:val="24"/>
              </w:rPr>
              <w:t>管理</w:t>
            </w:r>
            <w:r>
              <w:rPr>
                <w:sz w:val="24"/>
              </w:rPr>
              <w:t>。</w:t>
            </w:r>
          </w:p>
          <w:p w14:paraId="107B78AF">
            <w:pPr>
              <w:numPr>
                <w:ilvl w:val="0"/>
                <w:numId w:val="56"/>
              </w:numPr>
              <w:ind w:left="360" w:hanging="360"/>
              <w:rPr>
                <w:rFonts w:hint="eastAsia"/>
                <w:sz w:val="24"/>
              </w:rPr>
            </w:pPr>
            <w:r>
              <w:rPr>
                <w:rFonts w:hint="eastAsia"/>
                <w:sz w:val="24"/>
              </w:rPr>
              <w:t>脱酸脱硝优化及调整</w:t>
            </w:r>
            <w:r>
              <w:rPr>
                <w:sz w:val="24"/>
              </w:rPr>
              <w:t>、</w:t>
            </w:r>
            <w:r>
              <w:rPr>
                <w:rFonts w:hint="eastAsia"/>
                <w:sz w:val="24"/>
              </w:rPr>
              <w:t>脱酸、脱硝、除尘</w:t>
            </w:r>
            <w:r>
              <w:rPr>
                <w:sz w:val="24"/>
              </w:rPr>
              <w:t>效率等进行技术监控</w:t>
            </w:r>
            <w:r>
              <w:rPr>
                <w:rFonts w:hint="eastAsia"/>
                <w:sz w:val="24"/>
              </w:rPr>
              <w:t>管理</w:t>
            </w:r>
            <w:r>
              <w:rPr>
                <w:sz w:val="24"/>
              </w:rPr>
              <w:t>。</w:t>
            </w:r>
          </w:p>
        </w:tc>
        <w:tc>
          <w:tcPr>
            <w:tcW w:w="5386" w:type="dxa"/>
            <w:tcBorders>
              <w:top w:val="nil"/>
              <w:left w:val="nil"/>
              <w:bottom w:val="single" w:color="auto" w:sz="4" w:space="0"/>
              <w:right w:val="single" w:color="auto" w:sz="4" w:space="0"/>
            </w:tcBorders>
            <w:noWrap w:val="0"/>
            <w:vAlign w:val="top"/>
          </w:tcPr>
          <w:p w14:paraId="223F11C6">
            <w:pPr>
              <w:numPr>
                <w:ilvl w:val="0"/>
                <w:numId w:val="57"/>
              </w:numPr>
              <w:ind w:left="360" w:hanging="360"/>
              <w:rPr>
                <w:rFonts w:hint="eastAsia" w:ascii="宋体" w:hAnsi="宋体"/>
                <w:spacing w:val="10"/>
                <w:sz w:val="24"/>
              </w:rPr>
            </w:pPr>
            <w:r>
              <w:rPr>
                <w:rFonts w:ascii="宋体" w:hAnsi="宋体"/>
                <w:spacing w:val="10"/>
                <w:sz w:val="24"/>
              </w:rPr>
              <w:t>按</w:t>
            </w:r>
            <w:r>
              <w:rPr>
                <w:rFonts w:hint="eastAsia" w:ascii="宋体" w:hAnsi="宋体"/>
                <w:spacing w:val="10"/>
                <w:sz w:val="24"/>
              </w:rPr>
              <w:t>国家</w:t>
            </w:r>
            <w:r>
              <w:rPr>
                <w:rFonts w:ascii="宋体" w:hAnsi="宋体"/>
                <w:spacing w:val="10"/>
                <w:sz w:val="24"/>
              </w:rPr>
              <w:t>及电力行业</w:t>
            </w:r>
            <w:r>
              <w:rPr>
                <w:rFonts w:hint="eastAsia" w:ascii="宋体" w:hAnsi="宋体"/>
                <w:spacing w:val="10"/>
                <w:sz w:val="24"/>
              </w:rPr>
              <w:t>有关脱硫、脱硝、除尘</w:t>
            </w:r>
            <w:r>
              <w:rPr>
                <w:rFonts w:hint="eastAsia"/>
                <w:sz w:val="24"/>
              </w:rPr>
              <w:t>及重金属脱除</w:t>
            </w:r>
            <w:r>
              <w:rPr>
                <w:rFonts w:hint="eastAsia" w:ascii="宋体" w:hAnsi="宋体"/>
                <w:spacing w:val="10"/>
                <w:sz w:val="24"/>
              </w:rPr>
              <w:t>等监控</w:t>
            </w:r>
            <w:r>
              <w:rPr>
                <w:rFonts w:ascii="宋体" w:hAnsi="宋体"/>
                <w:spacing w:val="10"/>
                <w:sz w:val="24"/>
              </w:rPr>
              <w:t>规程进行技术监控管理。</w:t>
            </w:r>
          </w:p>
          <w:p w14:paraId="7F6EBA10">
            <w:pPr>
              <w:numPr>
                <w:ilvl w:val="0"/>
                <w:numId w:val="57"/>
              </w:numPr>
              <w:ind w:left="360" w:hanging="360"/>
              <w:rPr>
                <w:rFonts w:hint="eastAsia" w:ascii="宋体" w:hAnsi="宋体"/>
                <w:spacing w:val="10"/>
                <w:sz w:val="24"/>
              </w:rPr>
            </w:pPr>
            <w:r>
              <w:rPr>
                <w:rFonts w:hint="eastAsia" w:ascii="宋体" w:hAnsi="宋体"/>
                <w:spacing w:val="10"/>
                <w:sz w:val="24"/>
              </w:rPr>
              <w:t>检查、指导、监督甲方开展烟气脱酸、脱硝、除尘</w:t>
            </w:r>
            <w:r>
              <w:rPr>
                <w:rFonts w:hint="eastAsia"/>
                <w:sz w:val="24"/>
              </w:rPr>
              <w:t>及重金属脱除</w:t>
            </w:r>
            <w:r>
              <w:rPr>
                <w:rFonts w:hint="eastAsia" w:ascii="宋体" w:hAnsi="宋体"/>
                <w:spacing w:val="10"/>
                <w:sz w:val="24"/>
              </w:rPr>
              <w:t>等技术监督管理工作。并</w:t>
            </w:r>
            <w:r>
              <w:rPr>
                <w:rFonts w:hint="eastAsia"/>
                <w:sz w:val="24"/>
              </w:rPr>
              <w:t>协助解决监督工作中发现的问题。</w:t>
            </w:r>
          </w:p>
          <w:p w14:paraId="069851FC">
            <w:pPr>
              <w:rPr>
                <w:rFonts w:hint="eastAsia"/>
                <w:sz w:val="24"/>
              </w:rPr>
            </w:pPr>
          </w:p>
        </w:tc>
        <w:tc>
          <w:tcPr>
            <w:tcW w:w="2700" w:type="dxa"/>
            <w:tcBorders>
              <w:top w:val="nil"/>
              <w:left w:val="nil"/>
              <w:bottom w:val="single" w:color="auto" w:sz="4" w:space="0"/>
              <w:right w:val="single" w:color="auto" w:sz="4" w:space="0"/>
            </w:tcBorders>
            <w:noWrap w:val="0"/>
            <w:vAlign w:val="top"/>
          </w:tcPr>
          <w:p w14:paraId="71807A6E">
            <w:pPr>
              <w:rPr>
                <w:sz w:val="24"/>
              </w:rPr>
            </w:pPr>
          </w:p>
        </w:tc>
      </w:tr>
      <w:tr w14:paraId="317078FB">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695FDBBA">
            <w:pPr>
              <w:jc w:val="center"/>
              <w:rPr>
                <w:sz w:val="24"/>
              </w:rPr>
            </w:pPr>
            <w:r>
              <w:rPr>
                <w:sz w:val="24"/>
              </w:rPr>
              <w:t>2</w:t>
            </w:r>
          </w:p>
        </w:tc>
        <w:tc>
          <w:tcPr>
            <w:tcW w:w="5364" w:type="dxa"/>
            <w:tcBorders>
              <w:top w:val="nil"/>
              <w:left w:val="nil"/>
              <w:bottom w:val="single" w:color="auto" w:sz="4" w:space="0"/>
              <w:right w:val="single" w:color="auto" w:sz="4" w:space="0"/>
            </w:tcBorders>
            <w:noWrap w:val="0"/>
            <w:vAlign w:val="center"/>
          </w:tcPr>
          <w:p w14:paraId="73996345">
            <w:pPr>
              <w:rPr>
                <w:sz w:val="24"/>
              </w:rPr>
            </w:pPr>
            <w:r>
              <w:rPr>
                <w:b/>
                <w:sz w:val="24"/>
              </w:rPr>
              <w:t>方案审核：</w:t>
            </w:r>
            <w:r>
              <w:rPr>
                <w:rFonts w:hint="eastAsia"/>
                <w:sz w:val="24"/>
              </w:rPr>
              <w:t>对送达的</w:t>
            </w:r>
            <w:r>
              <w:rPr>
                <w:sz w:val="24"/>
              </w:rPr>
              <w:t>大小修</w:t>
            </w:r>
            <w:r>
              <w:rPr>
                <w:rFonts w:hint="eastAsia"/>
                <w:sz w:val="24"/>
              </w:rPr>
              <w:t>、</w:t>
            </w:r>
            <w:r>
              <w:rPr>
                <w:sz w:val="24"/>
              </w:rPr>
              <w:t>预防</w:t>
            </w:r>
            <w:r>
              <w:rPr>
                <w:rFonts w:hint="eastAsia"/>
                <w:sz w:val="24"/>
              </w:rPr>
              <w:t>及技术改造</w:t>
            </w:r>
            <w:r>
              <w:rPr>
                <w:sz w:val="24"/>
              </w:rPr>
              <w:t>试验方案</w:t>
            </w:r>
            <w:r>
              <w:rPr>
                <w:rFonts w:hint="eastAsia"/>
                <w:sz w:val="24"/>
              </w:rPr>
              <w:t>、报告进行</w:t>
            </w:r>
            <w:r>
              <w:rPr>
                <w:sz w:val="24"/>
              </w:rPr>
              <w:t>审核</w:t>
            </w:r>
            <w:r>
              <w:rPr>
                <w:rFonts w:hint="eastAsia"/>
                <w:sz w:val="24"/>
              </w:rPr>
              <w:t>。</w:t>
            </w:r>
          </w:p>
        </w:tc>
        <w:tc>
          <w:tcPr>
            <w:tcW w:w="5386" w:type="dxa"/>
            <w:tcBorders>
              <w:top w:val="nil"/>
              <w:left w:val="nil"/>
              <w:bottom w:val="single" w:color="auto" w:sz="4" w:space="0"/>
              <w:right w:val="single" w:color="auto" w:sz="4" w:space="0"/>
            </w:tcBorders>
            <w:noWrap w:val="0"/>
            <w:vAlign w:val="center"/>
          </w:tcPr>
          <w:p w14:paraId="0CF0B51B">
            <w:pPr>
              <w:numPr>
                <w:ilvl w:val="0"/>
                <w:numId w:val="58"/>
              </w:numPr>
              <w:ind w:left="360" w:hanging="360"/>
              <w:rPr>
                <w:rFonts w:hint="eastAsia"/>
                <w:sz w:val="24"/>
              </w:rPr>
            </w:pPr>
            <w:r>
              <w:rPr>
                <w:sz w:val="24"/>
              </w:rPr>
              <w:t>甲方于大</w:t>
            </w:r>
            <w:r>
              <w:rPr>
                <w:rFonts w:hint="eastAsia"/>
                <w:sz w:val="24"/>
              </w:rPr>
              <w:t>小</w:t>
            </w:r>
            <w:r>
              <w:rPr>
                <w:sz w:val="24"/>
              </w:rPr>
              <w:t>修前</w:t>
            </w:r>
            <w:r>
              <w:rPr>
                <w:rFonts w:hint="eastAsia"/>
                <w:sz w:val="24"/>
              </w:rPr>
              <w:t>30天</w:t>
            </w:r>
            <w:r>
              <w:rPr>
                <w:sz w:val="24"/>
              </w:rPr>
              <w:t>报乙方方案，乙方大</w:t>
            </w:r>
            <w:r>
              <w:rPr>
                <w:rFonts w:hint="eastAsia"/>
                <w:sz w:val="24"/>
              </w:rPr>
              <w:t>小</w:t>
            </w:r>
            <w:r>
              <w:rPr>
                <w:sz w:val="24"/>
              </w:rPr>
              <w:t>修前10天审核完返回甲方</w:t>
            </w:r>
            <w:r>
              <w:rPr>
                <w:rFonts w:hint="eastAsia"/>
                <w:sz w:val="24"/>
              </w:rPr>
              <w:t>。</w:t>
            </w:r>
          </w:p>
          <w:p w14:paraId="108F1070">
            <w:pPr>
              <w:numPr>
                <w:ilvl w:val="0"/>
                <w:numId w:val="58"/>
              </w:numPr>
              <w:ind w:left="360" w:hanging="360"/>
              <w:rPr>
                <w:rFonts w:hint="eastAsia"/>
                <w:sz w:val="24"/>
              </w:rPr>
            </w:pPr>
            <w:r>
              <w:rPr>
                <w:sz w:val="24"/>
              </w:rPr>
              <w:t>大小修</w:t>
            </w:r>
            <w:r>
              <w:rPr>
                <w:rFonts w:hint="eastAsia"/>
                <w:sz w:val="24"/>
              </w:rPr>
              <w:t>期间应派员对技术监督进行技术指导，发现问题时</w:t>
            </w:r>
            <w:r>
              <w:rPr>
                <w:sz w:val="24"/>
              </w:rPr>
              <w:t>提出处理建议或方案</w:t>
            </w:r>
            <w:r>
              <w:rPr>
                <w:rFonts w:hint="eastAsia"/>
                <w:sz w:val="24"/>
              </w:rPr>
              <w:t>。</w:t>
            </w:r>
          </w:p>
          <w:p w14:paraId="6E1C976E">
            <w:pPr>
              <w:numPr>
                <w:ilvl w:val="0"/>
                <w:numId w:val="58"/>
              </w:numPr>
              <w:ind w:left="360" w:hanging="360"/>
              <w:rPr>
                <w:rFonts w:hint="eastAsia"/>
                <w:sz w:val="24"/>
              </w:rPr>
            </w:pPr>
            <w:r>
              <w:rPr>
                <w:sz w:val="24"/>
              </w:rPr>
              <w:t>甲方</w:t>
            </w:r>
            <w:r>
              <w:rPr>
                <w:rFonts w:hint="eastAsia"/>
                <w:sz w:val="24"/>
              </w:rPr>
              <w:t>在检修过程中发现缺陷等问题通知</w:t>
            </w:r>
            <w:r>
              <w:rPr>
                <w:sz w:val="24"/>
              </w:rPr>
              <w:t>乙方</w:t>
            </w:r>
            <w:r>
              <w:rPr>
                <w:rFonts w:hint="eastAsia"/>
                <w:sz w:val="24"/>
              </w:rPr>
              <w:t>派技术员至现场指导时，乙方应按甲方提出的项目及时间要求到达检修现场，并</w:t>
            </w:r>
            <w:r>
              <w:rPr>
                <w:sz w:val="24"/>
              </w:rPr>
              <w:t>提出处理建议或方案</w:t>
            </w:r>
            <w:r>
              <w:rPr>
                <w:rFonts w:hint="eastAsia"/>
                <w:sz w:val="24"/>
              </w:rPr>
              <w:t>。</w:t>
            </w:r>
          </w:p>
        </w:tc>
        <w:tc>
          <w:tcPr>
            <w:tcW w:w="2700" w:type="dxa"/>
            <w:tcBorders>
              <w:top w:val="nil"/>
              <w:left w:val="nil"/>
              <w:bottom w:val="single" w:color="auto" w:sz="4" w:space="0"/>
              <w:right w:val="single" w:color="auto" w:sz="4" w:space="0"/>
            </w:tcBorders>
            <w:noWrap w:val="0"/>
            <w:vAlign w:val="top"/>
          </w:tcPr>
          <w:p w14:paraId="0B722FC7">
            <w:pPr>
              <w:rPr>
                <w:sz w:val="24"/>
              </w:rPr>
            </w:pPr>
          </w:p>
        </w:tc>
      </w:tr>
      <w:tr w14:paraId="390C80E4">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5F7DC11F">
            <w:pPr>
              <w:jc w:val="center"/>
              <w:rPr>
                <w:sz w:val="24"/>
              </w:rPr>
            </w:pPr>
            <w:r>
              <w:rPr>
                <w:sz w:val="24"/>
              </w:rPr>
              <w:t>3</w:t>
            </w:r>
          </w:p>
        </w:tc>
        <w:tc>
          <w:tcPr>
            <w:tcW w:w="5364" w:type="dxa"/>
            <w:tcBorders>
              <w:top w:val="nil"/>
              <w:left w:val="nil"/>
              <w:bottom w:val="single" w:color="auto" w:sz="4" w:space="0"/>
              <w:right w:val="single" w:color="auto" w:sz="4" w:space="0"/>
            </w:tcBorders>
            <w:noWrap w:val="0"/>
            <w:vAlign w:val="center"/>
          </w:tcPr>
          <w:p w14:paraId="08BD824B">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交流培训：</w:t>
            </w:r>
            <w:r>
              <w:rPr>
                <w:rFonts w:hint="eastAsia" w:ascii="Times New Roman" w:hAnsi="Times New Roman" w:eastAsia="宋体" w:cs="Times New Roman"/>
                <w:kern w:val="2"/>
                <w:sz w:val="24"/>
                <w:szCs w:val="24"/>
                <w:lang w:val="en-US" w:eastAsia="zh-CN" w:bidi="ar-SA"/>
              </w:rPr>
              <w:t>对脱酸、脱硝、除尘及重金属脱除</w:t>
            </w:r>
            <w:r>
              <w:rPr>
                <w:rFonts w:ascii="Times New Roman" w:hAnsi="Times New Roman" w:eastAsia="宋体" w:cs="Times New Roman"/>
                <w:kern w:val="2"/>
                <w:sz w:val="24"/>
                <w:szCs w:val="24"/>
                <w:lang w:val="en-US" w:eastAsia="zh-CN" w:bidi="ar-SA"/>
              </w:rPr>
              <w:t>专业</w:t>
            </w:r>
            <w:r>
              <w:rPr>
                <w:rFonts w:hint="eastAsia" w:ascii="Times New Roman" w:hAnsi="Times New Roman" w:eastAsia="宋体" w:cs="Times New Roman"/>
                <w:kern w:val="2"/>
                <w:sz w:val="24"/>
                <w:szCs w:val="24"/>
                <w:lang w:val="en-US" w:eastAsia="zh-CN" w:bidi="ar-SA"/>
              </w:rPr>
              <w:t>技术</w:t>
            </w:r>
            <w:r>
              <w:rPr>
                <w:rFonts w:ascii="Times New Roman" w:hAnsi="Times New Roman" w:eastAsia="宋体" w:cs="Times New Roman"/>
                <w:kern w:val="2"/>
                <w:sz w:val="24"/>
                <w:szCs w:val="24"/>
                <w:lang w:val="en-US" w:eastAsia="zh-CN" w:bidi="ar-SA"/>
              </w:rPr>
              <w:t>人员</w:t>
            </w:r>
            <w:r>
              <w:rPr>
                <w:rFonts w:hint="eastAsia" w:ascii="Times New Roman" w:hAnsi="Times New Roman" w:eastAsia="宋体" w:cs="Times New Roman"/>
                <w:kern w:val="2"/>
                <w:sz w:val="24"/>
                <w:szCs w:val="24"/>
                <w:lang w:val="en-US" w:eastAsia="zh-CN" w:bidi="ar-SA"/>
              </w:rPr>
              <w:t>进行交流、</w:t>
            </w:r>
            <w:r>
              <w:rPr>
                <w:rFonts w:ascii="Times New Roman" w:hAnsi="Times New Roman" w:eastAsia="宋体" w:cs="Times New Roman"/>
                <w:kern w:val="2"/>
                <w:sz w:val="24"/>
                <w:szCs w:val="24"/>
                <w:lang w:val="en-US" w:eastAsia="zh-CN" w:bidi="ar-SA"/>
              </w:rPr>
              <w:t>培训</w:t>
            </w:r>
            <w:r>
              <w:rPr>
                <w:rFonts w:hint="eastAsia" w:ascii="Times New Roman" w:hAnsi="Times New Roman" w:eastAsia="宋体" w:cs="Times New Roman"/>
                <w:kern w:val="2"/>
                <w:sz w:val="24"/>
                <w:szCs w:val="24"/>
                <w:lang w:val="en-US" w:eastAsia="zh-CN" w:bidi="ar-SA"/>
              </w:rPr>
              <w:t>。</w:t>
            </w:r>
          </w:p>
        </w:tc>
        <w:tc>
          <w:tcPr>
            <w:tcW w:w="5386" w:type="dxa"/>
            <w:tcBorders>
              <w:top w:val="nil"/>
              <w:left w:val="nil"/>
              <w:bottom w:val="single" w:color="auto" w:sz="4" w:space="0"/>
              <w:right w:val="single" w:color="auto" w:sz="4" w:space="0"/>
            </w:tcBorders>
            <w:noWrap w:val="0"/>
            <w:vAlign w:val="top"/>
          </w:tcPr>
          <w:p w14:paraId="1CAEFB10">
            <w:pPr>
              <w:numPr>
                <w:ilvl w:val="0"/>
                <w:numId w:val="59"/>
              </w:numPr>
              <w:ind w:left="360" w:hanging="360"/>
              <w:rPr>
                <w:rFonts w:hint="eastAsia"/>
                <w:sz w:val="24"/>
              </w:rPr>
            </w:pPr>
            <w:r>
              <w:rPr>
                <w:rFonts w:hint="eastAsia"/>
                <w:sz w:val="24"/>
              </w:rPr>
              <w:t>每年至少组织</w:t>
            </w:r>
            <w:r>
              <w:rPr>
                <w:sz w:val="24"/>
              </w:rPr>
              <w:t>甲方</w:t>
            </w:r>
            <w:r>
              <w:rPr>
                <w:rFonts w:hint="eastAsia"/>
                <w:sz w:val="24"/>
              </w:rPr>
              <w:t>技术监督人员对国家或行业新</w:t>
            </w:r>
            <w:r>
              <w:rPr>
                <w:sz w:val="24"/>
              </w:rPr>
              <w:t>规程、规范学习应用；试验方法、技能培训</w:t>
            </w:r>
            <w:r>
              <w:rPr>
                <w:rFonts w:hint="eastAsia"/>
                <w:sz w:val="24"/>
              </w:rPr>
              <w:t>1次。</w:t>
            </w:r>
          </w:p>
          <w:p w14:paraId="49AED9F4">
            <w:pPr>
              <w:numPr>
                <w:ilvl w:val="0"/>
                <w:numId w:val="59"/>
              </w:numPr>
              <w:ind w:left="360" w:hanging="360"/>
              <w:rPr>
                <w:rFonts w:hint="eastAsia"/>
                <w:sz w:val="24"/>
              </w:rPr>
            </w:pPr>
            <w:r>
              <w:rPr>
                <w:sz w:val="24"/>
              </w:rPr>
              <w:t>培训方式：培训班、现场培训、现场技术指导、现场专题技术分析</w:t>
            </w:r>
            <w:r>
              <w:rPr>
                <w:rFonts w:hint="eastAsia"/>
                <w:sz w:val="24"/>
              </w:rPr>
              <w:t>等。</w:t>
            </w:r>
          </w:p>
          <w:p w14:paraId="0C3E80F1">
            <w:pPr>
              <w:numPr>
                <w:ilvl w:val="0"/>
                <w:numId w:val="59"/>
              </w:numPr>
              <w:ind w:left="360" w:hanging="360"/>
              <w:rPr>
                <w:rFonts w:hint="eastAsia"/>
                <w:sz w:val="24"/>
              </w:rPr>
            </w:pPr>
            <w:r>
              <w:rPr>
                <w:rFonts w:hint="eastAsia" w:ascii="宋体" w:hAnsi="宋体"/>
                <w:sz w:val="24"/>
              </w:rPr>
              <w:t>提供</w:t>
            </w:r>
            <w:r>
              <w:rPr>
                <w:rFonts w:hint="eastAsia" w:ascii="宋体" w:hAnsi="宋体"/>
                <w:spacing w:val="10"/>
                <w:sz w:val="24"/>
              </w:rPr>
              <w:t>脱酸脱硝</w:t>
            </w:r>
            <w:r>
              <w:rPr>
                <w:rFonts w:hint="eastAsia" w:ascii="宋体" w:hAnsi="宋体"/>
                <w:sz w:val="24"/>
              </w:rPr>
              <w:t>有关技术情报、最新行业技术标准、新工艺等方面信息。</w:t>
            </w:r>
          </w:p>
        </w:tc>
        <w:tc>
          <w:tcPr>
            <w:tcW w:w="2700" w:type="dxa"/>
            <w:tcBorders>
              <w:top w:val="nil"/>
              <w:left w:val="nil"/>
              <w:bottom w:val="single" w:color="auto" w:sz="4" w:space="0"/>
              <w:right w:val="single" w:color="auto" w:sz="4" w:space="0"/>
            </w:tcBorders>
            <w:noWrap w:val="0"/>
            <w:vAlign w:val="top"/>
          </w:tcPr>
          <w:p w14:paraId="5B235D80">
            <w:pPr>
              <w:rPr>
                <w:sz w:val="24"/>
              </w:rPr>
            </w:pPr>
          </w:p>
        </w:tc>
      </w:tr>
      <w:tr w14:paraId="6D59F1A0">
        <w:tblPrEx>
          <w:tblCellMar>
            <w:top w:w="0" w:type="dxa"/>
            <w:left w:w="0" w:type="dxa"/>
            <w:bottom w:w="0" w:type="dxa"/>
            <w:right w:w="0" w:type="dxa"/>
          </w:tblCellMar>
        </w:tblPrEx>
        <w:trPr>
          <w:trHeight w:val="960" w:hRule="atLeast"/>
        </w:trPr>
        <w:tc>
          <w:tcPr>
            <w:tcW w:w="605" w:type="dxa"/>
            <w:tcBorders>
              <w:top w:val="nil"/>
              <w:left w:val="single" w:color="auto" w:sz="4" w:space="0"/>
              <w:bottom w:val="single" w:color="auto" w:sz="4" w:space="0"/>
              <w:right w:val="single" w:color="auto" w:sz="4" w:space="0"/>
            </w:tcBorders>
            <w:noWrap w:val="0"/>
            <w:vAlign w:val="center"/>
          </w:tcPr>
          <w:p w14:paraId="1DD67A3F">
            <w:pPr>
              <w:jc w:val="center"/>
              <w:rPr>
                <w:sz w:val="24"/>
              </w:rPr>
            </w:pPr>
            <w:r>
              <w:rPr>
                <w:sz w:val="24"/>
              </w:rPr>
              <w:t>4</w:t>
            </w:r>
          </w:p>
        </w:tc>
        <w:tc>
          <w:tcPr>
            <w:tcW w:w="5364" w:type="dxa"/>
            <w:tcBorders>
              <w:top w:val="nil"/>
              <w:left w:val="nil"/>
              <w:bottom w:val="single" w:color="auto" w:sz="4" w:space="0"/>
              <w:right w:val="single" w:color="auto" w:sz="4" w:space="0"/>
            </w:tcBorders>
            <w:noWrap w:val="0"/>
            <w:vAlign w:val="center"/>
          </w:tcPr>
          <w:p w14:paraId="1DACD994">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动态检查：每年进行一次监控检查和评价，提交检查评价报告，对异常情况提出告警</w:t>
            </w:r>
            <w:r>
              <w:rPr>
                <w:rFonts w:hint="eastAsia" w:ascii="Times New Roman" w:hAnsi="Times New Roman" w:eastAsia="宋体" w:cs="Times New Roman"/>
                <w:kern w:val="2"/>
                <w:sz w:val="24"/>
                <w:szCs w:val="24"/>
                <w:lang w:val="en-US" w:eastAsia="zh-CN" w:bidi="ar-SA"/>
              </w:rPr>
              <w:t>，并提出整改建议及措施。</w:t>
            </w:r>
          </w:p>
        </w:tc>
        <w:tc>
          <w:tcPr>
            <w:tcW w:w="5386" w:type="dxa"/>
            <w:tcBorders>
              <w:top w:val="nil"/>
              <w:left w:val="nil"/>
              <w:bottom w:val="single" w:color="auto" w:sz="4" w:space="0"/>
              <w:right w:val="single" w:color="auto" w:sz="4" w:space="0"/>
            </w:tcBorders>
            <w:noWrap w:val="0"/>
            <w:vAlign w:val="center"/>
          </w:tcPr>
          <w:p w14:paraId="5C575EB0">
            <w:pPr>
              <w:numPr>
                <w:ilvl w:val="0"/>
                <w:numId w:val="60"/>
              </w:numPr>
              <w:ind w:left="360" w:hanging="360"/>
              <w:rPr>
                <w:rFonts w:hint="eastAsia"/>
                <w:sz w:val="24"/>
              </w:rPr>
            </w:pPr>
            <w:r>
              <w:rPr>
                <w:sz w:val="24"/>
              </w:rPr>
              <w:t>现场检查运行日志、试验报告、缺陷处理、</w:t>
            </w:r>
            <w:r>
              <w:rPr>
                <w:rFonts w:hint="eastAsia"/>
                <w:sz w:val="24"/>
              </w:rPr>
              <w:t>脱硫</w:t>
            </w:r>
            <w:r>
              <w:rPr>
                <w:sz w:val="24"/>
              </w:rPr>
              <w:t>监</w:t>
            </w:r>
            <w:r>
              <w:rPr>
                <w:rFonts w:hint="eastAsia"/>
                <w:sz w:val="24"/>
              </w:rPr>
              <w:t>控</w:t>
            </w:r>
            <w:r>
              <w:rPr>
                <w:sz w:val="24"/>
              </w:rPr>
              <w:t>规程执行情况</w:t>
            </w:r>
            <w:r>
              <w:rPr>
                <w:rFonts w:hint="eastAsia"/>
                <w:sz w:val="24"/>
              </w:rPr>
              <w:t>。</w:t>
            </w:r>
          </w:p>
          <w:p w14:paraId="2A03E406">
            <w:pPr>
              <w:numPr>
                <w:ilvl w:val="0"/>
                <w:numId w:val="60"/>
              </w:numPr>
              <w:ind w:left="360" w:hanging="360"/>
              <w:rPr>
                <w:rFonts w:hint="eastAsia"/>
                <w:sz w:val="24"/>
              </w:rPr>
            </w:pPr>
            <w:r>
              <w:rPr>
                <w:rFonts w:hint="eastAsia" w:ascii="宋体" w:hAnsi="宋体"/>
                <w:sz w:val="24"/>
              </w:rPr>
              <w:t>检查工作完成后及时与甲方技术监督管理人员进行沟通汇报，并在15个工作日内提交</w:t>
            </w:r>
            <w:r>
              <w:rPr>
                <w:rFonts w:ascii="宋体" w:hAnsi="宋体"/>
                <w:sz w:val="24"/>
              </w:rPr>
              <w:t>检查评价报告</w:t>
            </w:r>
            <w:r>
              <w:rPr>
                <w:rFonts w:hint="eastAsia" w:ascii="宋体" w:hAnsi="宋体"/>
                <w:sz w:val="24"/>
              </w:rPr>
              <w:t>。</w:t>
            </w:r>
          </w:p>
        </w:tc>
        <w:tc>
          <w:tcPr>
            <w:tcW w:w="2700" w:type="dxa"/>
            <w:tcBorders>
              <w:top w:val="nil"/>
              <w:left w:val="nil"/>
              <w:bottom w:val="single" w:color="auto" w:sz="4" w:space="0"/>
              <w:right w:val="single" w:color="auto" w:sz="4" w:space="0"/>
            </w:tcBorders>
            <w:noWrap w:val="0"/>
            <w:vAlign w:val="top"/>
          </w:tcPr>
          <w:p w14:paraId="7F2ED82F">
            <w:pPr>
              <w:rPr>
                <w:rFonts w:hint="eastAsia"/>
                <w:sz w:val="24"/>
              </w:rPr>
            </w:pPr>
            <w:r>
              <w:rPr>
                <w:sz w:val="24"/>
              </w:rPr>
              <w:t>现场检查不少于3天</w:t>
            </w:r>
            <w:r>
              <w:rPr>
                <w:rFonts w:hint="eastAsia"/>
                <w:sz w:val="24"/>
              </w:rPr>
              <w:t>。</w:t>
            </w:r>
          </w:p>
        </w:tc>
      </w:tr>
      <w:tr w14:paraId="4E72A21F">
        <w:tblPrEx>
          <w:tblCellMar>
            <w:top w:w="0" w:type="dxa"/>
            <w:left w:w="0" w:type="dxa"/>
            <w:bottom w:w="0" w:type="dxa"/>
            <w:right w:w="0" w:type="dxa"/>
          </w:tblCellMar>
        </w:tblPrEx>
        <w:trPr>
          <w:trHeight w:val="960" w:hRule="atLeast"/>
        </w:trPr>
        <w:tc>
          <w:tcPr>
            <w:tcW w:w="605" w:type="dxa"/>
            <w:tcBorders>
              <w:top w:val="single" w:color="auto" w:sz="4" w:space="0"/>
              <w:left w:val="single" w:color="auto" w:sz="4" w:space="0"/>
              <w:bottom w:val="single" w:color="auto" w:sz="4" w:space="0"/>
              <w:right w:val="single" w:color="auto" w:sz="4" w:space="0"/>
            </w:tcBorders>
            <w:noWrap w:val="0"/>
            <w:vAlign w:val="center"/>
          </w:tcPr>
          <w:p w14:paraId="4E6FF280">
            <w:pPr>
              <w:jc w:val="center"/>
              <w:rPr>
                <w:sz w:val="24"/>
              </w:rPr>
            </w:pPr>
            <w:r>
              <w:rPr>
                <w:sz w:val="24"/>
              </w:rPr>
              <w:t>5</w:t>
            </w:r>
          </w:p>
        </w:tc>
        <w:tc>
          <w:tcPr>
            <w:tcW w:w="5364" w:type="dxa"/>
            <w:tcBorders>
              <w:top w:val="single" w:color="auto" w:sz="4" w:space="0"/>
              <w:left w:val="nil"/>
              <w:bottom w:val="single" w:color="auto" w:sz="4" w:space="0"/>
              <w:right w:val="single" w:color="auto" w:sz="4" w:space="0"/>
            </w:tcBorders>
            <w:noWrap w:val="0"/>
            <w:vAlign w:val="center"/>
          </w:tcPr>
          <w:p w14:paraId="75D56775">
            <w:pPr>
              <w:widowControl w:val="0"/>
              <w:jc w:val="both"/>
              <w:rPr>
                <w:rFonts w:hint="eastAsia"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事故分析：事故或运行中出现异常等情况，及时派有关技术人员赶赴现场，协助进行事故或异常情况调查分析，并提出处理意见和反事故措施</w:t>
            </w:r>
            <w:r>
              <w:rPr>
                <w:rFonts w:hint="eastAsia" w:ascii="Times New Roman" w:hAnsi="Times New Roman" w:eastAsia="宋体" w:cs="Times New Roman"/>
                <w:kern w:val="2"/>
                <w:sz w:val="24"/>
                <w:szCs w:val="24"/>
                <w:lang w:val="en-US" w:eastAsia="zh-CN" w:bidi="ar-SA"/>
              </w:rPr>
              <w:t>。</w:t>
            </w:r>
          </w:p>
        </w:tc>
        <w:tc>
          <w:tcPr>
            <w:tcW w:w="5386" w:type="dxa"/>
            <w:tcBorders>
              <w:top w:val="single" w:color="auto" w:sz="4" w:space="0"/>
              <w:left w:val="nil"/>
              <w:bottom w:val="single" w:color="auto" w:sz="4" w:space="0"/>
              <w:right w:val="single" w:color="auto" w:sz="4" w:space="0"/>
            </w:tcBorders>
            <w:noWrap w:val="0"/>
            <w:vAlign w:val="center"/>
          </w:tcPr>
          <w:p w14:paraId="3C9520ED">
            <w:pPr>
              <w:numPr>
                <w:ilvl w:val="0"/>
                <w:numId w:val="61"/>
              </w:numPr>
              <w:ind w:left="360" w:hanging="360"/>
              <w:rPr>
                <w:rFonts w:hint="eastAsia" w:ascii="宋体" w:hAnsi="宋体"/>
                <w:sz w:val="24"/>
              </w:rPr>
            </w:pPr>
            <w:r>
              <w:rPr>
                <w:rFonts w:hint="eastAsia" w:ascii="宋体" w:hAnsi="宋体"/>
                <w:spacing w:val="10"/>
                <w:sz w:val="24"/>
              </w:rPr>
              <w:t>烟气脱酸脱硝系统</w:t>
            </w:r>
            <w:r>
              <w:rPr>
                <w:rFonts w:ascii="宋体" w:hAnsi="宋体"/>
                <w:spacing w:val="10"/>
                <w:sz w:val="24"/>
              </w:rPr>
              <w:t>发生事故</w:t>
            </w:r>
            <w:r>
              <w:rPr>
                <w:rFonts w:hint="eastAsia" w:ascii="宋体" w:hAnsi="宋体"/>
                <w:spacing w:val="10"/>
                <w:sz w:val="24"/>
              </w:rPr>
              <w:t>或异常</w:t>
            </w:r>
            <w:r>
              <w:rPr>
                <w:rFonts w:ascii="宋体" w:hAnsi="宋体"/>
                <w:spacing w:val="10"/>
                <w:sz w:val="24"/>
              </w:rPr>
              <w:t>时</w:t>
            </w:r>
            <w:r>
              <w:rPr>
                <w:rFonts w:hint="eastAsia" w:ascii="宋体" w:hAnsi="宋体"/>
                <w:spacing w:val="10"/>
                <w:sz w:val="24"/>
              </w:rPr>
              <w:t>，根据收到的信息进行分析，为事故处理提供技术支持，根据甲方要求及</w:t>
            </w:r>
            <w:r>
              <w:rPr>
                <w:rFonts w:ascii="宋体" w:hAnsi="宋体"/>
                <w:sz w:val="24"/>
              </w:rPr>
              <w:t>派有关技术人员赶赴现场，协助进行事故或异常情况调查分析，并提出处理意见和反事故措施</w:t>
            </w:r>
            <w:r>
              <w:rPr>
                <w:rFonts w:hint="eastAsia" w:ascii="宋体" w:hAnsi="宋体"/>
                <w:sz w:val="24"/>
              </w:rPr>
              <w:t>。</w:t>
            </w:r>
          </w:p>
          <w:p w14:paraId="6805B633">
            <w:pPr>
              <w:numPr>
                <w:ilvl w:val="0"/>
                <w:numId w:val="61"/>
              </w:numPr>
              <w:ind w:left="360" w:hanging="360"/>
              <w:rPr>
                <w:sz w:val="24"/>
              </w:rPr>
            </w:pPr>
            <w:r>
              <w:rPr>
                <w:rFonts w:hint="eastAsia" w:ascii="宋体" w:hAnsi="宋体"/>
                <w:spacing w:val="10"/>
                <w:sz w:val="24"/>
              </w:rPr>
              <w:t>对于甲方提出的现场技术支持需求，</w:t>
            </w:r>
            <w:r>
              <w:rPr>
                <w:rFonts w:ascii="宋体" w:hAnsi="宋体"/>
                <w:spacing w:val="10"/>
                <w:sz w:val="24"/>
              </w:rPr>
              <w:t>乙方接到通知后</w:t>
            </w:r>
            <w:r>
              <w:rPr>
                <w:rFonts w:hint="eastAsia" w:hAnsi="宋体"/>
                <w:spacing w:val="10"/>
                <w:sz w:val="24"/>
              </w:rPr>
              <w:t>应在第</w:t>
            </w:r>
            <w:r>
              <w:rPr>
                <w:spacing w:val="10"/>
                <w:sz w:val="24"/>
              </w:rPr>
              <w:t>3.</w:t>
            </w:r>
            <w:r>
              <w:rPr>
                <w:rFonts w:hint="eastAsia"/>
                <w:spacing w:val="10"/>
                <w:sz w:val="24"/>
              </w:rPr>
              <w:t>4条款规定的时间内</w:t>
            </w:r>
            <w:r>
              <w:rPr>
                <w:rFonts w:ascii="宋体" w:hAnsi="宋体"/>
                <w:spacing w:val="10"/>
                <w:sz w:val="24"/>
              </w:rPr>
              <w:t>赶到现场服务</w:t>
            </w:r>
            <w:r>
              <w:rPr>
                <w:rFonts w:hint="eastAsia" w:ascii="宋体" w:hAnsi="宋体"/>
                <w:spacing w:val="10"/>
                <w:sz w:val="24"/>
              </w:rPr>
              <w:t>。</w:t>
            </w:r>
          </w:p>
        </w:tc>
        <w:tc>
          <w:tcPr>
            <w:tcW w:w="2700" w:type="dxa"/>
            <w:tcBorders>
              <w:top w:val="single" w:color="auto" w:sz="4" w:space="0"/>
              <w:left w:val="nil"/>
              <w:bottom w:val="single" w:color="auto" w:sz="4" w:space="0"/>
              <w:right w:val="single" w:color="auto" w:sz="4" w:space="0"/>
            </w:tcBorders>
            <w:noWrap w:val="0"/>
            <w:vAlign w:val="top"/>
          </w:tcPr>
          <w:p w14:paraId="5EE0DDB2">
            <w:pPr>
              <w:rPr>
                <w:rFonts w:hint="eastAsia"/>
                <w:sz w:val="24"/>
              </w:rPr>
            </w:pPr>
          </w:p>
        </w:tc>
      </w:tr>
    </w:tbl>
    <w:p w14:paraId="48E7A9FB">
      <w:pPr>
        <w:spacing w:line="360" w:lineRule="auto"/>
        <w:jc w:val="left"/>
        <w:rPr>
          <w:rFonts w:hint="eastAsia" w:hAnsi="宋体" w:eastAsia="宋体"/>
          <w:spacing w:val="10"/>
          <w:sz w:val="24"/>
          <w:highlight w:val="none"/>
          <w:lang w:val="en-US" w:eastAsia="zh-CN"/>
        </w:rPr>
      </w:pPr>
    </w:p>
    <w:p w14:paraId="185A0EF9">
      <w:pPr>
        <w:spacing w:line="360" w:lineRule="auto"/>
        <w:jc w:val="left"/>
        <w:rPr>
          <w:rFonts w:hint="eastAsia" w:hAnsi="宋体" w:eastAsia="宋体"/>
          <w:spacing w:val="10"/>
          <w:sz w:val="24"/>
          <w:highlight w:val="none"/>
          <w:lang w:val="en-US" w:eastAsia="zh-CN"/>
        </w:rPr>
      </w:pPr>
    </w:p>
    <w:p w14:paraId="039997D7">
      <w:pPr>
        <w:spacing w:line="360" w:lineRule="auto"/>
        <w:jc w:val="left"/>
        <w:rPr>
          <w:rFonts w:hint="eastAsia" w:hAnsi="宋体" w:eastAsia="宋体"/>
          <w:spacing w:val="10"/>
          <w:sz w:val="24"/>
          <w:highlight w:val="none"/>
          <w:lang w:val="en-US" w:eastAsia="zh-CN"/>
        </w:rPr>
        <w:sectPr>
          <w:pgSz w:w="16838" w:h="11906" w:orient="landscape"/>
          <w:pgMar w:top="1800" w:right="1440" w:bottom="1800" w:left="1440" w:header="851" w:footer="992" w:gutter="0"/>
          <w:cols w:space="720" w:num="1"/>
          <w:docGrid w:type="lines" w:linePitch="312" w:charSpace="0"/>
        </w:sectPr>
      </w:pPr>
    </w:p>
    <w:p w14:paraId="21FD5B5F">
      <w:pPr>
        <w:spacing w:line="360" w:lineRule="auto"/>
        <w:jc w:val="left"/>
        <w:rPr>
          <w:rFonts w:hint="eastAsia" w:hAnsi="宋体" w:eastAsia="宋体"/>
          <w:spacing w:val="10"/>
          <w:sz w:val="24"/>
          <w:highlight w:val="none"/>
          <w:lang w:val="en-US" w:eastAsia="zh-CN"/>
        </w:rPr>
      </w:pPr>
    </w:p>
    <w:p w14:paraId="564A1041">
      <w:pPr>
        <w:spacing w:line="360" w:lineRule="auto"/>
        <w:jc w:val="left"/>
        <w:rPr>
          <w:rFonts w:hAnsi="宋体"/>
          <w:spacing w:val="10"/>
          <w:sz w:val="24"/>
          <w:highlight w:val="none"/>
        </w:rPr>
      </w:pPr>
      <w:r>
        <w:rPr>
          <w:rFonts w:hint="eastAsia" w:hAnsi="宋体"/>
          <w:spacing w:val="10"/>
          <w:sz w:val="24"/>
          <w:highlight w:val="none"/>
        </w:rPr>
        <w:t>附件二《安健环协议》</w:t>
      </w:r>
    </w:p>
    <w:p w14:paraId="60F97D4C">
      <w:pPr>
        <w:pStyle w:val="11"/>
        <w:snapToGrid w:val="0"/>
        <w:spacing w:line="360" w:lineRule="auto"/>
        <w:ind w:left="0" w:leftChars="0" w:right="290"/>
        <w:rPr>
          <w:rFonts w:hint="eastAsia"/>
          <w:bCs/>
          <w:highlight w:val="none"/>
          <w:u w:val="single"/>
        </w:rPr>
      </w:pPr>
      <w:bookmarkStart w:id="5" w:name="_Toc248027862"/>
    </w:p>
    <w:p w14:paraId="29E3B9F3">
      <w:pPr>
        <w:pStyle w:val="11"/>
        <w:snapToGrid w:val="0"/>
        <w:spacing w:line="360" w:lineRule="auto"/>
        <w:ind w:left="0" w:leftChars="0" w:right="290"/>
        <w:rPr>
          <w:rFonts w:hint="eastAsia"/>
          <w:bCs/>
          <w:highlight w:val="none"/>
          <w:u w:val="single"/>
        </w:rPr>
      </w:pPr>
    </w:p>
    <w:p w14:paraId="5BC113DD">
      <w:pPr>
        <w:pStyle w:val="11"/>
        <w:snapToGrid w:val="0"/>
        <w:spacing w:line="360" w:lineRule="auto"/>
        <w:ind w:left="420" w:leftChars="200" w:right="290"/>
        <w:jc w:val="center"/>
        <w:rPr>
          <w:rFonts w:hint="eastAsia" w:ascii="黑体" w:hAnsi="黑体" w:eastAsia="黑体"/>
          <w:b/>
          <w:sz w:val="44"/>
          <w:szCs w:val="44"/>
          <w:highlight w:val="none"/>
        </w:rPr>
      </w:pPr>
      <w:r>
        <w:rPr>
          <w:rFonts w:hint="eastAsia" w:ascii="黑体" w:hAnsi="黑体" w:eastAsia="黑体"/>
          <w:b/>
          <w:sz w:val="44"/>
          <w:szCs w:val="44"/>
          <w:highlight w:val="none"/>
        </w:rPr>
        <w:t>安健环协议</w:t>
      </w:r>
      <w:bookmarkEnd w:id="5"/>
    </w:p>
    <w:p w14:paraId="50D7F93C">
      <w:pPr>
        <w:pStyle w:val="11"/>
        <w:snapToGrid w:val="0"/>
        <w:ind w:left="420" w:leftChars="200" w:right="290"/>
        <w:rPr>
          <w:highlight w:val="none"/>
          <w:lang w:val="en-GB"/>
        </w:rPr>
      </w:pPr>
    </w:p>
    <w:p w14:paraId="74EE197C">
      <w:pPr>
        <w:pStyle w:val="11"/>
        <w:snapToGrid w:val="0"/>
        <w:spacing w:line="360" w:lineRule="auto"/>
        <w:ind w:left="420" w:leftChars="200" w:right="290"/>
        <w:rPr>
          <w:rFonts w:hint="eastAsia"/>
          <w:b/>
          <w:highlight w:val="none"/>
          <w:u w:val="none"/>
          <w:lang w:val="en-GB"/>
        </w:rPr>
      </w:pPr>
      <w:r>
        <w:rPr>
          <w:rFonts w:hint="eastAsia"/>
          <w:b/>
          <w:highlight w:val="none"/>
          <w:lang w:val="en-GB"/>
        </w:rPr>
        <w:t>项目名称：</w:t>
      </w:r>
      <w:r>
        <w:rPr>
          <w:rFonts w:hint="eastAsia"/>
          <w:b/>
          <w:highlight w:val="none"/>
          <w:u w:val="single"/>
          <w:lang w:val="en-GB"/>
        </w:rPr>
        <w:t>阳朔县深能环保有限公司202</w:t>
      </w:r>
      <w:r>
        <w:rPr>
          <w:rFonts w:hint="eastAsia"/>
          <w:b/>
          <w:highlight w:val="none"/>
          <w:u w:val="single"/>
          <w:lang w:val="en-US" w:eastAsia="zh-CN"/>
        </w:rPr>
        <w:t>6</w:t>
      </w:r>
      <w:r>
        <w:rPr>
          <w:rFonts w:hint="eastAsia"/>
          <w:b/>
          <w:highlight w:val="none"/>
          <w:u w:val="single"/>
          <w:lang w:val="en-GB"/>
        </w:rPr>
        <w:t xml:space="preserve">年度技术监督咨询服务合同  </w:t>
      </w:r>
    </w:p>
    <w:p w14:paraId="4721484C">
      <w:pPr>
        <w:pStyle w:val="11"/>
        <w:snapToGrid w:val="0"/>
        <w:spacing w:line="360" w:lineRule="auto"/>
        <w:ind w:left="420" w:leftChars="200" w:right="290"/>
        <w:rPr>
          <w:rFonts w:hint="eastAsia"/>
          <w:b/>
          <w:highlight w:val="none"/>
          <w:lang w:val="en-GB"/>
        </w:rPr>
      </w:pPr>
      <w:r>
        <w:rPr>
          <w:rFonts w:hint="eastAsia"/>
          <w:b/>
          <w:highlight w:val="none"/>
          <w:lang w:val="en-GB"/>
        </w:rPr>
        <w:t>甲方（发包方）：</w:t>
      </w:r>
      <w:r>
        <w:rPr>
          <w:rFonts w:hint="eastAsia"/>
          <w:b/>
          <w:highlight w:val="none"/>
          <w:u w:val="single"/>
          <w:lang w:val="en-GB"/>
        </w:rPr>
        <w:t xml:space="preserve"> </w:t>
      </w:r>
      <w:r>
        <w:rPr>
          <w:rFonts w:hint="eastAsia"/>
          <w:b/>
          <w:highlight w:val="none"/>
          <w:u w:val="single"/>
          <w:lang w:val="en-GB" w:eastAsia="zh-CN"/>
        </w:rPr>
        <w:t>阳朔县深能环保有限公司</w:t>
      </w:r>
      <w:r>
        <w:rPr>
          <w:rFonts w:hint="eastAsia"/>
          <w:b/>
          <w:highlight w:val="none"/>
          <w:u w:val="single"/>
          <w:lang w:val="en-US" w:eastAsia="zh-CN"/>
        </w:rPr>
        <w:t xml:space="preserve">   </w:t>
      </w:r>
      <w:r>
        <w:rPr>
          <w:b/>
          <w:highlight w:val="none"/>
          <w:lang w:val="en-GB"/>
        </w:rPr>
        <w:t xml:space="preserve">             </w:t>
      </w:r>
    </w:p>
    <w:p w14:paraId="2F83747A">
      <w:pPr>
        <w:pStyle w:val="11"/>
        <w:snapToGrid w:val="0"/>
        <w:spacing w:line="360" w:lineRule="auto"/>
        <w:ind w:left="420" w:leftChars="200" w:right="290"/>
        <w:rPr>
          <w:highlight w:val="none"/>
          <w:lang w:val="en-GB"/>
        </w:rPr>
      </w:pPr>
      <w:r>
        <w:rPr>
          <w:rFonts w:hint="eastAsia"/>
          <w:b/>
          <w:highlight w:val="none"/>
          <w:lang w:val="en-GB"/>
        </w:rPr>
        <w:t>乙方（承包方）</w:t>
      </w:r>
      <w:r>
        <w:rPr>
          <w:rFonts w:hint="eastAsia"/>
          <w:b w:val="0"/>
          <w:bCs/>
          <w:highlight w:val="none"/>
          <w:lang w:val="en-GB"/>
        </w:rPr>
        <w:t>：</w:t>
      </w:r>
      <w:r>
        <w:rPr>
          <w:rFonts w:hint="eastAsia"/>
          <w:b/>
          <w:bCs/>
          <w:highlight w:val="none"/>
          <w:u w:val="single"/>
          <w:lang w:val="en-GB"/>
        </w:rPr>
        <w:t xml:space="preserve"> </w:t>
      </w:r>
      <w:r>
        <w:rPr>
          <w:rFonts w:hint="eastAsia"/>
          <w:b/>
          <w:bCs/>
          <w:highlight w:val="none"/>
          <w:u w:val="single"/>
          <w:lang w:val="en-GB" w:eastAsia="zh-CN"/>
        </w:rPr>
        <w:t>安徽新力电业高技术有限责任公司</w:t>
      </w:r>
      <w:r>
        <w:rPr>
          <w:rFonts w:hint="eastAsia"/>
          <w:b/>
          <w:bCs/>
          <w:highlight w:val="none"/>
          <w:u w:val="single"/>
          <w:lang w:val="en-US" w:eastAsia="zh-CN"/>
        </w:rPr>
        <w:t xml:space="preserve">  </w:t>
      </w:r>
      <w:r>
        <w:rPr>
          <w:rFonts w:hint="eastAsia"/>
          <w:highlight w:val="none"/>
          <w:lang w:val="en-GB"/>
        </w:rPr>
        <w:t xml:space="preserve">                   </w:t>
      </w:r>
    </w:p>
    <w:p w14:paraId="54D08D6C">
      <w:pPr>
        <w:pStyle w:val="11"/>
        <w:snapToGrid w:val="0"/>
        <w:spacing w:line="360" w:lineRule="auto"/>
        <w:ind w:left="420" w:leftChars="200" w:right="290"/>
        <w:rPr>
          <w:rFonts w:hint="eastAsia"/>
          <w:highlight w:val="none"/>
        </w:rPr>
      </w:pPr>
    </w:p>
    <w:p w14:paraId="4086820B">
      <w:pPr>
        <w:pStyle w:val="11"/>
        <w:snapToGrid w:val="0"/>
        <w:spacing w:line="360" w:lineRule="auto"/>
        <w:ind w:left="0" w:leftChars="0" w:right="290" w:firstLine="566" w:firstLineChars="236"/>
        <w:rPr>
          <w:rFonts w:hint="eastAsia"/>
          <w:highlight w:val="none"/>
        </w:rPr>
      </w:pPr>
      <w:r>
        <w:rPr>
          <w:rFonts w:hint="eastAsia"/>
          <w:highlight w:val="none"/>
        </w:rPr>
        <w:t>为加强承包项目实施过程中安全、职业健康和环境保护（简称安健环</w:t>
      </w:r>
      <w:r>
        <w:rPr>
          <w:highlight w:val="none"/>
        </w:rPr>
        <w:t>）</w:t>
      </w:r>
      <w:r>
        <w:rPr>
          <w:rFonts w:hint="eastAsia"/>
          <w:highlight w:val="none"/>
        </w:rPr>
        <w:t>管理，明确甲乙双方安健环管理职责、应当采取的措施、违约责任及违约金扣缴或处罚等内容，</w:t>
      </w:r>
      <w:r>
        <w:rPr>
          <w:highlight w:val="none"/>
        </w:rPr>
        <w:t>最大限度地减少事故、职业病和环境污染的发生</w:t>
      </w:r>
      <w:r>
        <w:rPr>
          <w:rFonts w:hint="eastAsia"/>
          <w:highlight w:val="none"/>
        </w:rPr>
        <w:t>，根据国家、行业有关法律法规和规范性文件要求，结合承包工程项目特点，经双方协商一致签订本协议，并严格遵守。</w:t>
      </w:r>
    </w:p>
    <w:p w14:paraId="4E5E682E">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定义与解释</w:t>
      </w:r>
    </w:p>
    <w:p w14:paraId="2998443C">
      <w:pPr>
        <w:pStyle w:val="11"/>
        <w:numPr>
          <w:ilvl w:val="0"/>
          <w:numId w:val="63"/>
        </w:numPr>
        <w:snapToGrid w:val="0"/>
        <w:spacing w:line="360" w:lineRule="auto"/>
        <w:ind w:left="0" w:leftChars="0" w:right="290" w:firstLine="567"/>
        <w:rPr>
          <w:rFonts w:hint="eastAsia"/>
          <w:highlight w:val="none"/>
        </w:rPr>
      </w:pPr>
      <w:r>
        <w:rPr>
          <w:rFonts w:hint="eastAsia"/>
          <w:highlight w:val="none"/>
        </w:rPr>
        <w:t>定义：(以下定义适用于本协议）</w:t>
      </w:r>
    </w:p>
    <w:p w14:paraId="391A0E3A">
      <w:pPr>
        <w:pStyle w:val="11"/>
        <w:snapToGrid w:val="0"/>
        <w:spacing w:line="360" w:lineRule="auto"/>
        <w:ind w:left="0" w:leftChars="0" w:right="290" w:firstLine="566" w:firstLineChars="235"/>
        <w:rPr>
          <w:rFonts w:hint="eastAsia"/>
          <w:highlight w:val="none"/>
        </w:rPr>
      </w:pPr>
      <w:r>
        <w:rPr>
          <w:rFonts w:hint="eastAsia"/>
          <w:b/>
          <w:highlight w:val="none"/>
        </w:rPr>
        <w:t>中国</w:t>
      </w:r>
      <w:r>
        <w:rPr>
          <w:rFonts w:hint="eastAsia"/>
          <w:highlight w:val="none"/>
        </w:rPr>
        <w:t>或</w:t>
      </w:r>
      <w:r>
        <w:rPr>
          <w:rFonts w:hint="eastAsia"/>
          <w:b/>
          <w:highlight w:val="none"/>
        </w:rPr>
        <w:t>国家</w:t>
      </w:r>
      <w:r>
        <w:rPr>
          <w:rFonts w:hint="eastAsia"/>
          <w:highlight w:val="none"/>
        </w:rPr>
        <w:t>：指中华人民共和国，仅为本协议之目的，不包括香港特别行政区、澳门特别行政区和台湾地区。</w:t>
      </w:r>
    </w:p>
    <w:p w14:paraId="1615DC03">
      <w:pPr>
        <w:pStyle w:val="11"/>
        <w:snapToGrid w:val="0"/>
        <w:spacing w:line="360" w:lineRule="auto"/>
        <w:ind w:left="0" w:leftChars="0" w:right="290" w:firstLine="566" w:firstLineChars="235"/>
        <w:rPr>
          <w:rFonts w:hint="eastAsia"/>
          <w:highlight w:val="none"/>
        </w:rPr>
      </w:pPr>
      <w:r>
        <w:rPr>
          <w:rFonts w:hint="eastAsia"/>
          <w:b/>
          <w:highlight w:val="none"/>
        </w:rPr>
        <w:t>法律</w:t>
      </w:r>
      <w:r>
        <w:rPr>
          <w:rFonts w:hint="eastAsia"/>
          <w:highlight w:val="none"/>
        </w:rPr>
        <w:t>：指所有适用的中国法律、行政法规、规章、自治条例、单行条例、地方性法规、司法解释及其它有法律约束力的规范性文件。本协议适用之法律包括签订生效时已现行发布实施之法律及日后进行重新修订、修改、废除等变更后之法律。</w:t>
      </w:r>
    </w:p>
    <w:p w14:paraId="05F7AA77">
      <w:pPr>
        <w:pStyle w:val="11"/>
        <w:snapToGrid w:val="0"/>
        <w:spacing w:line="360" w:lineRule="auto"/>
        <w:ind w:left="0" w:leftChars="0" w:right="290" w:firstLine="566" w:firstLineChars="235"/>
        <w:rPr>
          <w:rFonts w:hint="eastAsia"/>
          <w:highlight w:val="none"/>
        </w:rPr>
      </w:pPr>
      <w:r>
        <w:rPr>
          <w:rFonts w:hint="eastAsia"/>
          <w:b/>
          <w:highlight w:val="none"/>
        </w:rPr>
        <w:t>法律变更：</w:t>
      </w:r>
      <w:r>
        <w:rPr>
          <w:rFonts w:hint="eastAsia"/>
          <w:highlight w:val="none"/>
        </w:rPr>
        <w:t>指在生效日后，中华人民共和国任何立法机构、政府部门或司法机关对本协议生效时所适用的法律、法规、规章、规范性文件</w:t>
      </w:r>
      <w:r>
        <w:rPr>
          <w:highlight w:val="none"/>
        </w:rPr>
        <w:t>(</w:t>
      </w:r>
      <w:r>
        <w:rPr>
          <w:rFonts w:hint="eastAsia"/>
          <w:highlight w:val="none"/>
        </w:rPr>
        <w:t>包括但不限于与履行本协议有关的各种标准）进行重新修订、修改、废除的情况。还包括项目所在地政府、上级管理部门、甲方及与本协议履行有关的行政机关对现行规范性文件的修改。</w:t>
      </w:r>
    </w:p>
    <w:p w14:paraId="7A847888">
      <w:pPr>
        <w:pStyle w:val="11"/>
        <w:snapToGrid w:val="0"/>
        <w:spacing w:line="360" w:lineRule="auto"/>
        <w:ind w:left="2" w:leftChars="0" w:right="290" w:firstLine="564" w:firstLineChars="234"/>
        <w:rPr>
          <w:rFonts w:hint="eastAsia"/>
          <w:highlight w:val="none"/>
        </w:rPr>
      </w:pPr>
      <w:r>
        <w:rPr>
          <w:rFonts w:hint="eastAsia"/>
          <w:b/>
          <w:highlight w:val="none"/>
        </w:rPr>
        <w:t>安健环：</w:t>
      </w:r>
      <w:r>
        <w:rPr>
          <w:rFonts w:hint="eastAsia"/>
          <w:highlight w:val="none"/>
        </w:rPr>
        <w:t>指</w:t>
      </w:r>
      <w:r>
        <w:rPr>
          <w:highlight w:val="none"/>
        </w:rPr>
        <w:t>安全（safe）、</w:t>
      </w:r>
      <w:r>
        <w:rPr>
          <w:rFonts w:hint="eastAsia"/>
          <w:highlight w:val="none"/>
        </w:rPr>
        <w:t>职业</w:t>
      </w:r>
      <w:r>
        <w:rPr>
          <w:highlight w:val="none"/>
        </w:rPr>
        <w:t>健康（health）、</w:t>
      </w:r>
      <w:r>
        <w:rPr>
          <w:rFonts w:hint="eastAsia"/>
          <w:highlight w:val="none"/>
        </w:rPr>
        <w:t>环境保护</w:t>
      </w:r>
      <w:r>
        <w:rPr>
          <w:highlight w:val="none"/>
        </w:rPr>
        <w:t>（environment）</w:t>
      </w:r>
      <w:r>
        <w:rPr>
          <w:rFonts w:hint="eastAsia"/>
          <w:highlight w:val="none"/>
        </w:rPr>
        <w:t>，</w:t>
      </w:r>
      <w:r>
        <w:rPr>
          <w:highlight w:val="none"/>
        </w:rPr>
        <w:t>安健环（SHE）管理体系是指建立起一种通过系统化的预防管理机制，彻底消除各种事故、环境和职业病隐患，以便最大限度地减少事故、环境污染和职业病的发生，从而达到改善企业安全、环境与健康业绩的管理方法。</w:t>
      </w:r>
    </w:p>
    <w:p w14:paraId="4F81BBFB">
      <w:pPr>
        <w:pStyle w:val="11"/>
        <w:snapToGrid w:val="0"/>
        <w:spacing w:line="360" w:lineRule="auto"/>
        <w:ind w:left="0" w:leftChars="0" w:right="290" w:firstLine="566" w:firstLineChars="235"/>
        <w:rPr>
          <w:rFonts w:hint="eastAsia"/>
          <w:b/>
          <w:highlight w:val="none"/>
        </w:rPr>
      </w:pPr>
      <w:r>
        <w:rPr>
          <w:rFonts w:hint="eastAsia"/>
          <w:b/>
          <w:highlight w:val="none"/>
        </w:rPr>
        <w:t>协议</w:t>
      </w:r>
      <w:r>
        <w:rPr>
          <w:rFonts w:hint="eastAsia"/>
          <w:highlight w:val="none"/>
        </w:rPr>
        <w:t>或</w:t>
      </w:r>
      <w:r>
        <w:rPr>
          <w:rFonts w:hint="eastAsia"/>
          <w:b/>
          <w:highlight w:val="none"/>
        </w:rPr>
        <w:t>本协议</w:t>
      </w:r>
      <w:r>
        <w:rPr>
          <w:rFonts w:hint="eastAsia"/>
          <w:highlight w:val="none"/>
        </w:rPr>
        <w:t>：指甲方与乙方之间签订的本《安健环协议》（包含其附件）和目前及日后签订生效的任何承包项目的具体业务合同（包含其附件，简称为项目合同），以及本《安健环协议》和各项目合同两方面日后可能签订之补充协议和附件，上述每一文件均被视为本安健环协议不可分割的一部分。</w:t>
      </w:r>
    </w:p>
    <w:p w14:paraId="045C6A57">
      <w:pPr>
        <w:pStyle w:val="11"/>
        <w:snapToGrid w:val="0"/>
        <w:spacing w:line="360" w:lineRule="auto"/>
        <w:ind w:left="0" w:leftChars="0" w:right="290" w:firstLine="566" w:firstLineChars="235"/>
        <w:rPr>
          <w:rFonts w:hint="eastAsia"/>
          <w:highlight w:val="none"/>
        </w:rPr>
      </w:pPr>
      <w:r>
        <w:rPr>
          <w:rFonts w:hint="eastAsia"/>
          <w:b/>
          <w:highlight w:val="none"/>
        </w:rPr>
        <w:t>项目</w:t>
      </w:r>
      <w:r>
        <w:rPr>
          <w:rFonts w:hint="eastAsia"/>
          <w:highlight w:val="none"/>
        </w:rPr>
        <w:t>：指在本协议签订生效至双方另行签订更新版本的安健环协议生效而被取代之日前，经甲方（发包方）交由乙方(承包方)进行具体承包负责实施完成的建设施工和生产运行阶段每一个业务项目合同范围及内容，也简称为本项目或外包项目或工程项目等。</w:t>
      </w:r>
    </w:p>
    <w:p w14:paraId="7F535B78">
      <w:pPr>
        <w:pStyle w:val="11"/>
        <w:snapToGrid w:val="0"/>
        <w:spacing w:line="360" w:lineRule="auto"/>
        <w:ind w:left="0" w:leftChars="0" w:right="290" w:firstLine="566" w:firstLineChars="235"/>
        <w:rPr>
          <w:rFonts w:hint="eastAsia"/>
          <w:highlight w:val="none"/>
        </w:rPr>
      </w:pPr>
      <w:r>
        <w:rPr>
          <w:rFonts w:hint="eastAsia"/>
          <w:b/>
          <w:highlight w:val="none"/>
        </w:rPr>
        <w:t>现场</w:t>
      </w:r>
      <w:r>
        <w:rPr>
          <w:rFonts w:hint="eastAsia"/>
          <w:highlight w:val="none"/>
        </w:rPr>
        <w:t>：指在本协议项目</w:t>
      </w:r>
      <w:r>
        <w:rPr>
          <w:rFonts w:hint="eastAsia"/>
          <w:color w:val="auto"/>
          <w:highlight w:val="none"/>
          <w:u w:val="single"/>
          <w:lang w:val="en-US" w:eastAsia="zh-CN"/>
        </w:rPr>
        <w:t>实施及</w:t>
      </w:r>
      <w:r>
        <w:rPr>
          <w:rFonts w:hint="eastAsia"/>
          <w:highlight w:val="none"/>
        </w:rPr>
        <w:t>甲方（发包方）办公区域、施工场地、厂区范围内的场所或地点。</w:t>
      </w:r>
    </w:p>
    <w:p w14:paraId="525E5935">
      <w:pPr>
        <w:pStyle w:val="11"/>
        <w:numPr>
          <w:ilvl w:val="0"/>
          <w:numId w:val="63"/>
        </w:numPr>
        <w:snapToGrid w:val="0"/>
        <w:spacing w:line="360" w:lineRule="auto"/>
        <w:ind w:left="0" w:leftChars="0" w:right="290" w:firstLine="567"/>
        <w:rPr>
          <w:highlight w:val="none"/>
        </w:rPr>
      </w:pPr>
      <w:r>
        <w:rPr>
          <w:rFonts w:hint="eastAsia"/>
          <w:highlight w:val="none"/>
        </w:rPr>
        <w:t>解释：(在本协议中，除非另有明确规定，以下释义适用)</w:t>
      </w:r>
    </w:p>
    <w:p w14:paraId="466DFD24">
      <w:pPr>
        <w:pStyle w:val="11"/>
        <w:numPr>
          <w:ilvl w:val="0"/>
          <w:numId w:val="64"/>
        </w:numPr>
        <w:snapToGrid w:val="0"/>
        <w:spacing w:line="360" w:lineRule="auto"/>
        <w:ind w:left="0" w:leftChars="0" w:right="290" w:firstLine="567"/>
        <w:rPr>
          <w:highlight w:val="none"/>
        </w:rPr>
      </w:pPr>
      <w:r>
        <w:rPr>
          <w:rFonts w:hint="eastAsia"/>
          <w:highlight w:val="none"/>
        </w:rPr>
        <w:t>一方、双方指本协议的一方或双方，并且包括经允许的替代该方的人或该方的继承人或受让人；</w:t>
      </w:r>
    </w:p>
    <w:p w14:paraId="000FEF36">
      <w:pPr>
        <w:pStyle w:val="11"/>
        <w:numPr>
          <w:ilvl w:val="0"/>
          <w:numId w:val="64"/>
        </w:numPr>
        <w:snapToGrid w:val="0"/>
        <w:spacing w:line="360" w:lineRule="auto"/>
        <w:ind w:left="0" w:leftChars="0" w:right="290" w:firstLine="567"/>
        <w:rPr>
          <w:highlight w:val="none"/>
        </w:rPr>
      </w:pPr>
      <w:r>
        <w:rPr>
          <w:rFonts w:hint="eastAsia"/>
          <w:highlight w:val="none"/>
        </w:rPr>
        <w:t>条款或附件指本协议的条款或附件；</w:t>
      </w:r>
    </w:p>
    <w:p w14:paraId="73A92156">
      <w:pPr>
        <w:pStyle w:val="11"/>
        <w:numPr>
          <w:ilvl w:val="0"/>
          <w:numId w:val="64"/>
        </w:numPr>
        <w:snapToGrid w:val="0"/>
        <w:spacing w:line="360" w:lineRule="auto"/>
        <w:ind w:left="0" w:leftChars="0" w:right="290" w:firstLine="567"/>
        <w:rPr>
          <w:highlight w:val="none"/>
        </w:rPr>
      </w:pPr>
      <w:r>
        <w:rPr>
          <w:rFonts w:hint="eastAsia"/>
          <w:highlight w:val="none"/>
        </w:rPr>
        <w:t>“包括”均应理解为“包括但不限于”的意思；</w:t>
      </w:r>
    </w:p>
    <w:p w14:paraId="3535D40A">
      <w:pPr>
        <w:pStyle w:val="11"/>
        <w:numPr>
          <w:ilvl w:val="0"/>
          <w:numId w:val="64"/>
        </w:numPr>
        <w:snapToGrid w:val="0"/>
        <w:spacing w:line="360" w:lineRule="auto"/>
        <w:ind w:left="0" w:leftChars="0" w:right="290" w:firstLine="567"/>
        <w:rPr>
          <w:highlight w:val="none"/>
        </w:rPr>
      </w:pPr>
      <w:r>
        <w:rPr>
          <w:rFonts w:hint="eastAsia"/>
          <w:highlight w:val="none"/>
        </w:rPr>
        <w:t>任何协议或文件还指经补充或替代后的该协议或文件；</w:t>
      </w:r>
    </w:p>
    <w:p w14:paraId="66B78A61">
      <w:pPr>
        <w:pStyle w:val="11"/>
        <w:numPr>
          <w:ilvl w:val="0"/>
          <w:numId w:val="64"/>
        </w:numPr>
        <w:snapToGrid w:val="0"/>
        <w:spacing w:line="360" w:lineRule="auto"/>
        <w:ind w:left="0" w:leftChars="0" w:right="290" w:firstLine="567"/>
        <w:rPr>
          <w:highlight w:val="none"/>
        </w:rPr>
      </w:pPr>
      <w:r>
        <w:rPr>
          <w:rFonts w:hint="eastAsia"/>
          <w:highlight w:val="none"/>
        </w:rPr>
        <w:t>本协议指连同本协议附件、附录及附表在内的本协议，如本协议正文与附件、附录、附表冲突，以本协议正文为准；</w:t>
      </w:r>
    </w:p>
    <w:p w14:paraId="194A1E00">
      <w:pPr>
        <w:pStyle w:val="11"/>
        <w:numPr>
          <w:ilvl w:val="0"/>
          <w:numId w:val="64"/>
        </w:numPr>
        <w:snapToGrid w:val="0"/>
        <w:spacing w:line="360" w:lineRule="auto"/>
        <w:ind w:left="0" w:leftChars="0" w:right="290" w:firstLine="567"/>
        <w:rPr>
          <w:highlight w:val="none"/>
        </w:rPr>
      </w:pPr>
      <w:r>
        <w:rPr>
          <w:rFonts w:hint="eastAsia"/>
          <w:highlight w:val="none"/>
        </w:rPr>
        <w:t>标题仅供阅读方便而设，不应影响条文的解释。</w:t>
      </w:r>
    </w:p>
    <w:p w14:paraId="14446BC3">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总则</w:t>
      </w:r>
    </w:p>
    <w:p w14:paraId="09377112">
      <w:pPr>
        <w:pStyle w:val="11"/>
        <w:numPr>
          <w:ilvl w:val="0"/>
          <w:numId w:val="65"/>
        </w:numPr>
        <w:snapToGrid w:val="0"/>
        <w:spacing w:line="360" w:lineRule="auto"/>
        <w:ind w:left="0" w:leftChars="0" w:right="290" w:firstLine="567"/>
        <w:rPr>
          <w:rFonts w:hint="eastAsia"/>
          <w:highlight w:val="none"/>
        </w:rPr>
      </w:pPr>
      <w:r>
        <w:rPr>
          <w:rFonts w:hint="eastAsia"/>
          <w:highlight w:val="none"/>
        </w:rPr>
        <w:t>甲乙双方必须严格遵守安健环有关</w:t>
      </w:r>
      <w:r>
        <w:rPr>
          <w:highlight w:val="none"/>
        </w:rPr>
        <w:t>法律法规</w:t>
      </w:r>
      <w:r>
        <w:rPr>
          <w:rFonts w:hint="eastAsia"/>
          <w:highlight w:val="none"/>
        </w:rPr>
        <w:t>和规范性文件要求</w:t>
      </w:r>
      <w:r>
        <w:rPr>
          <w:highlight w:val="none"/>
        </w:rPr>
        <w:t>，依法承担</w:t>
      </w:r>
      <w:r>
        <w:rPr>
          <w:rFonts w:hint="eastAsia"/>
          <w:highlight w:val="none"/>
        </w:rPr>
        <w:t>安健环</w:t>
      </w:r>
      <w:r>
        <w:rPr>
          <w:highlight w:val="none"/>
        </w:rPr>
        <w:t>责任。</w:t>
      </w:r>
    </w:p>
    <w:p w14:paraId="78301B46">
      <w:pPr>
        <w:pStyle w:val="11"/>
        <w:numPr>
          <w:ilvl w:val="0"/>
          <w:numId w:val="65"/>
        </w:numPr>
        <w:snapToGrid w:val="0"/>
        <w:spacing w:line="360" w:lineRule="auto"/>
        <w:ind w:left="0" w:leftChars="0" w:right="290" w:firstLine="567"/>
        <w:rPr>
          <w:rFonts w:hint="eastAsia"/>
          <w:highlight w:val="none"/>
        </w:rPr>
      </w:pPr>
      <w:r>
        <w:rPr>
          <w:rFonts w:hint="eastAsia"/>
          <w:highlight w:val="none"/>
        </w:rPr>
        <w:t>甲乙双方履行</w:t>
      </w:r>
      <w:r>
        <w:rPr>
          <w:highlight w:val="none"/>
        </w:rPr>
        <w:t>法律</w:t>
      </w:r>
      <w:r>
        <w:rPr>
          <w:rFonts w:hint="eastAsia"/>
          <w:highlight w:val="none"/>
        </w:rPr>
        <w:t>法规和规范性文件要求的及项目承包合同和本协议约定应履行的安健环管理职责，采取必要的安健环措施，共同管理本项目实施过程中的安健环工作。</w:t>
      </w:r>
    </w:p>
    <w:p w14:paraId="07DEF928">
      <w:pPr>
        <w:pStyle w:val="11"/>
        <w:numPr>
          <w:ilvl w:val="0"/>
          <w:numId w:val="65"/>
        </w:numPr>
        <w:snapToGrid w:val="0"/>
        <w:spacing w:line="360" w:lineRule="auto"/>
        <w:ind w:left="0" w:leftChars="0" w:right="290" w:firstLine="567"/>
        <w:rPr>
          <w:rFonts w:hint="eastAsia"/>
          <w:highlight w:val="none"/>
        </w:rPr>
      </w:pPr>
      <w:r>
        <w:rPr>
          <w:rFonts w:hint="eastAsia"/>
          <w:highlight w:val="none"/>
        </w:rPr>
        <w:t>甲方对承包项目具有安健环一票否决权。乙方在项目实施过程中未切实履行有关安健环管理职责、未有效落实有关安健环措施，危及生命财产安全、危及甲方安全生产或可能造成环境污染事故或事件的，甲方可勒令乙方整改、停止作业、</w:t>
      </w:r>
      <w:r>
        <w:rPr>
          <w:highlight w:val="none"/>
        </w:rPr>
        <w:t>停工</w:t>
      </w:r>
      <w:r>
        <w:rPr>
          <w:rFonts w:hint="eastAsia"/>
          <w:highlight w:val="none"/>
        </w:rPr>
        <w:t>整顿直至解除项目合同，可采取通报批评、</w:t>
      </w:r>
      <w:r>
        <w:rPr>
          <w:highlight w:val="none"/>
        </w:rPr>
        <w:t>警告</w:t>
      </w:r>
      <w:r>
        <w:rPr>
          <w:rFonts w:hint="eastAsia"/>
          <w:highlight w:val="none"/>
        </w:rPr>
        <w:t>、</w:t>
      </w:r>
      <w:r>
        <w:rPr>
          <w:highlight w:val="none"/>
        </w:rPr>
        <w:t>约谈</w:t>
      </w:r>
      <w:r>
        <w:rPr>
          <w:rFonts w:hint="eastAsia"/>
          <w:highlight w:val="none"/>
        </w:rPr>
        <w:t>乙方相关负责人、违规人员安全再教育、</w:t>
      </w:r>
      <w:r>
        <w:rPr>
          <w:highlight w:val="none"/>
        </w:rPr>
        <w:t>回收</w:t>
      </w:r>
      <w:r>
        <w:rPr>
          <w:rFonts w:hint="eastAsia"/>
          <w:highlight w:val="none"/>
        </w:rPr>
        <w:t>施工安健环开工许可证、要求撤换乙方不合格人员等措施，并可根据承包合同、本协议及甲方有关安健环管理规定对乙方给予相应的追责和扣缴违约金或经济处罚。对上述原因造成停止作业、停工整顿产生的损失，甲方不承担任何责任，乙方无权要求调整合同总价、工期等既定条件；上述原因导致解除合同造成损的，由乙方负责赔偿。</w:t>
      </w:r>
    </w:p>
    <w:p w14:paraId="4EC7BD5B">
      <w:pPr>
        <w:pStyle w:val="11"/>
        <w:numPr>
          <w:ilvl w:val="0"/>
          <w:numId w:val="65"/>
        </w:numPr>
        <w:snapToGrid w:val="0"/>
        <w:spacing w:line="360" w:lineRule="auto"/>
        <w:ind w:left="0" w:leftChars="0" w:right="290" w:firstLine="567"/>
        <w:rPr>
          <w:rFonts w:hint="eastAsia"/>
          <w:highlight w:val="none"/>
        </w:rPr>
      </w:pPr>
      <w:r>
        <w:rPr>
          <w:rFonts w:hint="eastAsia"/>
          <w:highlight w:val="none"/>
        </w:rPr>
        <w:t>本协议适用于甲方因工程建设、生产经营等需要，委托外部组织在甲方项目现场实施新建、</w:t>
      </w:r>
      <w:r>
        <w:rPr>
          <w:highlight w:val="none"/>
        </w:rPr>
        <w:t>改建</w:t>
      </w:r>
      <w:r>
        <w:rPr>
          <w:rFonts w:hint="eastAsia"/>
          <w:highlight w:val="none"/>
        </w:rPr>
        <w:t>、扩建等工程</w:t>
      </w:r>
      <w:r>
        <w:rPr>
          <w:rFonts w:hint="eastAsia" w:ascii="宋体" w:hAnsi="宋体" w:cs="Tahoma"/>
          <w:highlight w:val="none"/>
        </w:rPr>
        <w:t>建设，以及</w:t>
      </w:r>
      <w:r>
        <w:rPr>
          <w:rFonts w:hint="eastAsia"/>
          <w:highlight w:val="none"/>
        </w:rPr>
        <w:t>进行</w:t>
      </w:r>
      <w:r>
        <w:rPr>
          <w:highlight w:val="none"/>
        </w:rPr>
        <w:t>检（维）修、</w:t>
      </w:r>
      <w:r>
        <w:rPr>
          <w:rFonts w:hint="eastAsia"/>
          <w:highlight w:val="none"/>
        </w:rPr>
        <w:t>维护、</w:t>
      </w:r>
      <w:r>
        <w:rPr>
          <w:highlight w:val="none"/>
        </w:rPr>
        <w:t>安装、试验</w:t>
      </w:r>
      <w:r>
        <w:rPr>
          <w:rFonts w:hint="eastAsia"/>
          <w:highlight w:val="none"/>
        </w:rPr>
        <w:t>、装修、拆除、处置、技改、小型基建等现场业务；委托外部组织进行现场物资供应、技术服务、咨询服务、劳务服务（含临时用工</w:t>
      </w:r>
      <w:r>
        <w:rPr>
          <w:highlight w:val="none"/>
        </w:rPr>
        <w:t>）</w:t>
      </w:r>
      <w:r>
        <w:rPr>
          <w:rFonts w:hint="eastAsia"/>
          <w:highlight w:val="none"/>
        </w:rPr>
        <w:t>、</w:t>
      </w:r>
      <w:r>
        <w:rPr>
          <w:highlight w:val="none"/>
        </w:rPr>
        <w:t>监理服务</w:t>
      </w:r>
      <w:r>
        <w:rPr>
          <w:rFonts w:hint="eastAsia"/>
          <w:highlight w:val="none"/>
        </w:rPr>
        <w:t>及其他服务或信息提供时，涉及外委人员进入甲方工程</w:t>
      </w:r>
      <w:r>
        <w:rPr>
          <w:highlight w:val="none"/>
        </w:rPr>
        <w:t>、生产</w:t>
      </w:r>
      <w:r>
        <w:rPr>
          <w:rFonts w:hint="eastAsia"/>
          <w:highlight w:val="none"/>
        </w:rPr>
        <w:t>现场的外包业务，也适用本协议。</w:t>
      </w:r>
    </w:p>
    <w:p w14:paraId="6A1B3B0B">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安健环管理目标</w:t>
      </w:r>
    </w:p>
    <w:p w14:paraId="3255FD38">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不发生安全生产事故；</w:t>
      </w:r>
    </w:p>
    <w:p w14:paraId="6A2B48FC">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不发生火灾事故；</w:t>
      </w:r>
    </w:p>
    <w:p w14:paraId="52C87F4F">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不发生交通事故；</w:t>
      </w:r>
    </w:p>
    <w:p w14:paraId="14D1F086">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不发生责任性全厂停电事故；</w:t>
      </w:r>
    </w:p>
    <w:p w14:paraId="128F4457">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不发生职业病危害事故；</w:t>
      </w:r>
    </w:p>
    <w:p w14:paraId="4F109F28">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不发生污染物超标排放、危险废弃物违法处置、化学品泄漏、环境处罚等环境污染事故、事件；</w:t>
      </w:r>
    </w:p>
    <w:p w14:paraId="24EE248D">
      <w:pPr>
        <w:pStyle w:val="11"/>
        <w:numPr>
          <w:ilvl w:val="0"/>
          <w:numId w:val="66"/>
        </w:numPr>
        <w:snapToGrid w:val="0"/>
        <w:spacing w:line="360" w:lineRule="auto"/>
        <w:ind w:left="0" w:leftChars="0" w:right="290" w:firstLine="567"/>
        <w:rPr>
          <w:rFonts w:hint="eastAsia"/>
          <w:highlight w:val="none"/>
        </w:rPr>
      </w:pPr>
      <w:r>
        <w:rPr>
          <w:rFonts w:hint="eastAsia"/>
          <w:highlight w:val="none"/>
        </w:rPr>
        <w:t>不发生责任性甲方二类障碍及以上安健环事件等。</w:t>
      </w:r>
    </w:p>
    <w:p w14:paraId="3CE3EFF8">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甲方安健环职责</w:t>
      </w:r>
    </w:p>
    <w:p w14:paraId="32EF9E57">
      <w:pPr>
        <w:pStyle w:val="11"/>
        <w:numPr>
          <w:ilvl w:val="0"/>
          <w:numId w:val="67"/>
        </w:numPr>
        <w:snapToGrid w:val="0"/>
        <w:spacing w:line="360" w:lineRule="auto"/>
        <w:ind w:left="0" w:leftChars="0" w:right="290" w:firstLine="567"/>
        <w:rPr>
          <w:highlight w:val="none"/>
        </w:rPr>
      </w:pPr>
      <w:r>
        <w:rPr>
          <w:rFonts w:hint="eastAsia" w:ascii="宋体" w:hAnsi="宋体"/>
          <w:highlight w:val="none"/>
        </w:rPr>
        <w:t>甲方有权根据</w:t>
      </w:r>
      <w:r>
        <w:rPr>
          <w:rFonts w:hint="eastAsia" w:ascii="宋体" w:hAnsi="宋体" w:cs="Tahoma"/>
          <w:highlight w:val="none"/>
        </w:rPr>
        <w:t>有关</w:t>
      </w:r>
      <w:r>
        <w:rPr>
          <w:rFonts w:ascii="宋体" w:hAnsi="宋体" w:cs="Tahoma"/>
          <w:highlight w:val="none"/>
        </w:rPr>
        <w:t>法律法规</w:t>
      </w:r>
      <w:r>
        <w:rPr>
          <w:rFonts w:hint="eastAsia" w:ascii="宋体" w:hAnsi="宋体" w:cs="Tahoma"/>
          <w:highlight w:val="none"/>
        </w:rPr>
        <w:t>和</w:t>
      </w:r>
      <w:r>
        <w:rPr>
          <w:rFonts w:hint="eastAsia" w:ascii="宋体" w:hAnsi="宋体" w:cs="宋体"/>
          <w:highlight w:val="none"/>
        </w:rPr>
        <w:t>规范性文件</w:t>
      </w:r>
      <w:r>
        <w:rPr>
          <w:rFonts w:hint="eastAsia" w:ascii="宋体" w:hAnsi="宋体" w:cs="Tahoma"/>
          <w:highlight w:val="none"/>
        </w:rPr>
        <w:t>要求，结合</w:t>
      </w:r>
      <w:r>
        <w:rPr>
          <w:rFonts w:hint="eastAsia" w:ascii="宋体" w:hAnsi="宋体"/>
          <w:highlight w:val="none"/>
        </w:rPr>
        <w:t>电厂项目</w:t>
      </w:r>
      <w:r>
        <w:rPr>
          <w:rFonts w:hint="eastAsia" w:ascii="宋体" w:hAnsi="宋体" w:cs="Tahoma"/>
          <w:highlight w:val="none"/>
        </w:rPr>
        <w:t>建设和</w:t>
      </w:r>
      <w:r>
        <w:rPr>
          <w:rFonts w:hint="eastAsia" w:ascii="宋体" w:hAnsi="宋体"/>
          <w:highlight w:val="none"/>
        </w:rPr>
        <w:t>生产运营等实际需要，</w:t>
      </w:r>
      <w:r>
        <w:rPr>
          <w:rFonts w:hint="eastAsia"/>
          <w:highlight w:val="none"/>
        </w:rPr>
        <w:t>制订并颁布施行</w:t>
      </w:r>
      <w:r>
        <w:rPr>
          <w:rFonts w:hint="eastAsia" w:ascii="宋体" w:hAnsi="宋体" w:cs="Tahoma"/>
          <w:highlight w:val="none"/>
        </w:rPr>
        <w:t>安健环</w:t>
      </w:r>
      <w:r>
        <w:rPr>
          <w:rFonts w:hint="eastAsia"/>
          <w:highlight w:val="none"/>
        </w:rPr>
        <w:t>相关</w:t>
      </w:r>
      <w:r>
        <w:rPr>
          <w:rFonts w:hint="eastAsia" w:ascii="宋体" w:hAnsi="宋体" w:cs="Tahoma"/>
          <w:highlight w:val="none"/>
        </w:rPr>
        <w:t>规章制度。</w:t>
      </w:r>
    </w:p>
    <w:p w14:paraId="60A4F737">
      <w:pPr>
        <w:pStyle w:val="11"/>
        <w:numPr>
          <w:ilvl w:val="0"/>
          <w:numId w:val="67"/>
        </w:numPr>
        <w:snapToGrid w:val="0"/>
        <w:spacing w:line="360" w:lineRule="auto"/>
        <w:ind w:left="0" w:leftChars="0" w:right="290" w:firstLine="567"/>
        <w:rPr>
          <w:rFonts w:hint="eastAsia"/>
          <w:highlight w:val="none"/>
        </w:rPr>
      </w:pPr>
      <w:r>
        <w:rPr>
          <w:rFonts w:hint="eastAsia"/>
          <w:highlight w:val="none"/>
        </w:rPr>
        <w:t>项目开工前由甲方自行或组织相关参建单位对乙方进行资质和开工条件审查。</w:t>
      </w:r>
    </w:p>
    <w:p w14:paraId="6FE5D109">
      <w:pPr>
        <w:pStyle w:val="11"/>
        <w:numPr>
          <w:ilvl w:val="0"/>
          <w:numId w:val="67"/>
        </w:numPr>
        <w:snapToGrid w:val="0"/>
        <w:spacing w:line="360" w:lineRule="auto"/>
        <w:ind w:left="0" w:leftChars="0" w:right="290" w:firstLine="567"/>
        <w:rPr>
          <w:rFonts w:hint="eastAsia"/>
          <w:highlight w:val="none"/>
        </w:rPr>
      </w:pPr>
      <w:r>
        <w:rPr>
          <w:rFonts w:hint="eastAsia"/>
          <w:highlight w:val="none"/>
        </w:rPr>
        <w:t>根据法规规定向乙方提供施工现场及毗邻区域内供水、排水、供电、供气、供热、通信、广播电视等地下管线资料，气象和水文观测资料，相邻建筑物和构筑物、地下工程的有关资料，并保证资料的真实、准确、完整。</w:t>
      </w:r>
    </w:p>
    <w:p w14:paraId="29984E2D">
      <w:pPr>
        <w:pStyle w:val="11"/>
        <w:numPr>
          <w:ilvl w:val="0"/>
          <w:numId w:val="67"/>
        </w:numPr>
        <w:snapToGrid w:val="0"/>
        <w:spacing w:line="360" w:lineRule="auto"/>
        <w:ind w:left="0" w:leftChars="0" w:right="290" w:firstLine="567"/>
        <w:rPr>
          <w:rFonts w:hint="eastAsia"/>
          <w:highlight w:val="none"/>
        </w:rPr>
      </w:pPr>
      <w:r>
        <w:rPr>
          <w:rFonts w:hint="eastAsia"/>
          <w:highlight w:val="none"/>
        </w:rPr>
        <w:t>自行或组织监理</w:t>
      </w:r>
      <w:r>
        <w:rPr>
          <w:highlight w:val="none"/>
        </w:rPr>
        <w:t>单位</w:t>
      </w:r>
      <w:r>
        <w:rPr>
          <w:rFonts w:hint="eastAsia"/>
          <w:highlight w:val="none"/>
        </w:rPr>
        <w:t>审查乙方项目安全保证及监督体系、</w:t>
      </w:r>
      <w:r>
        <w:rPr>
          <w:highlight w:val="none"/>
        </w:rPr>
        <w:t>安全生产</w:t>
      </w:r>
      <w:r>
        <w:rPr>
          <w:rFonts w:hint="eastAsia"/>
          <w:highlight w:val="none"/>
        </w:rPr>
        <w:t>管理组织机构、</w:t>
      </w:r>
      <w:r>
        <w:rPr>
          <w:highlight w:val="none"/>
        </w:rPr>
        <w:t>安全生产</w:t>
      </w:r>
      <w:r>
        <w:rPr>
          <w:rFonts w:hint="eastAsia"/>
          <w:highlight w:val="none"/>
        </w:rPr>
        <w:t>条件、施工组织设计、安全技术措施、职业健康防治措施、环境保护与污染防治措施等安健环管理满足法规要求和项目需求。</w:t>
      </w:r>
    </w:p>
    <w:p w14:paraId="42B03DAB">
      <w:pPr>
        <w:pStyle w:val="11"/>
        <w:numPr>
          <w:ilvl w:val="0"/>
          <w:numId w:val="67"/>
        </w:numPr>
        <w:snapToGrid w:val="0"/>
        <w:spacing w:line="360" w:lineRule="auto"/>
        <w:ind w:left="0" w:leftChars="0" w:right="290" w:firstLine="567"/>
        <w:rPr>
          <w:rFonts w:hint="eastAsia"/>
          <w:highlight w:val="none"/>
        </w:rPr>
      </w:pPr>
      <w:r>
        <w:rPr>
          <w:rFonts w:hint="eastAsia"/>
          <w:highlight w:val="none"/>
        </w:rPr>
        <w:t>向乙方进行必要的书面安健环技术交底（实行工程总承包的，由总承包单位组织落实）。</w:t>
      </w:r>
    </w:p>
    <w:p w14:paraId="1B3E31A3">
      <w:pPr>
        <w:pStyle w:val="11"/>
        <w:numPr>
          <w:ilvl w:val="0"/>
          <w:numId w:val="67"/>
        </w:numPr>
        <w:snapToGrid w:val="0"/>
        <w:spacing w:line="360" w:lineRule="auto"/>
        <w:ind w:left="0" w:leftChars="0" w:right="290" w:firstLine="567"/>
        <w:rPr>
          <w:highlight w:val="none"/>
        </w:rPr>
      </w:pPr>
      <w:r>
        <w:rPr>
          <w:rFonts w:hint="eastAsia"/>
          <w:highlight w:val="none"/>
        </w:rPr>
        <w:t>自行或委托监理单位对项目实施过程的现场人员、设备设施、材料、安健环管理实施监督检查，促进现场安全文明生产、职业病防治、节能环保和防止污染事件。</w:t>
      </w:r>
    </w:p>
    <w:p w14:paraId="75902D64">
      <w:pPr>
        <w:pStyle w:val="11"/>
        <w:numPr>
          <w:ilvl w:val="0"/>
          <w:numId w:val="67"/>
        </w:numPr>
        <w:snapToGrid w:val="0"/>
        <w:spacing w:line="360" w:lineRule="auto"/>
        <w:ind w:left="0" w:leftChars="0" w:right="290" w:firstLine="567"/>
        <w:rPr>
          <w:highlight w:val="none"/>
        </w:rPr>
      </w:pPr>
      <w:r>
        <w:rPr>
          <w:rFonts w:hint="eastAsia"/>
          <w:highlight w:val="none"/>
        </w:rPr>
        <w:t>甲方及其上级单位或其委托的监理单位有权对乙方安健环</w:t>
      </w:r>
      <w:r>
        <w:rPr>
          <w:highlight w:val="none"/>
        </w:rPr>
        <w:t>违法</w:t>
      </w:r>
      <w:r>
        <w:rPr>
          <w:rFonts w:hint="eastAsia"/>
          <w:highlight w:val="none"/>
        </w:rPr>
        <w:t>、违规、违章及不文明施工等行为及时进行制止，必要时向乙方下达整改通知书，</w:t>
      </w:r>
      <w:r>
        <w:rPr>
          <w:highlight w:val="none"/>
        </w:rPr>
        <w:t>并</w:t>
      </w:r>
      <w:r>
        <w:rPr>
          <w:rFonts w:hint="eastAsia"/>
          <w:highlight w:val="none"/>
        </w:rPr>
        <w:t>可根据约定条件对承包商给予相应的追责和扣缴违约金以及经济处罚。对于严重违法违章行为、重大安健环隐患，可勒令乙方无条件停止作业、</w:t>
      </w:r>
      <w:r>
        <w:rPr>
          <w:highlight w:val="none"/>
        </w:rPr>
        <w:t>停工</w:t>
      </w:r>
      <w:r>
        <w:rPr>
          <w:rFonts w:hint="eastAsia"/>
          <w:highlight w:val="none"/>
        </w:rPr>
        <w:t>整顿，直至问题或隐患排除，方允许继续作业。</w:t>
      </w:r>
      <w:r>
        <w:rPr>
          <w:highlight w:val="none"/>
        </w:rPr>
        <w:t>情况</w:t>
      </w:r>
      <w:r>
        <w:rPr>
          <w:rFonts w:hint="eastAsia"/>
          <w:highlight w:val="none"/>
        </w:rPr>
        <w:t>特别严重的，甲方有权终止合同。</w:t>
      </w:r>
    </w:p>
    <w:p w14:paraId="7096753B">
      <w:pPr>
        <w:pStyle w:val="11"/>
        <w:numPr>
          <w:ilvl w:val="0"/>
          <w:numId w:val="67"/>
        </w:numPr>
        <w:snapToGrid w:val="0"/>
        <w:spacing w:line="360" w:lineRule="auto"/>
        <w:ind w:left="0" w:leftChars="0" w:right="290" w:firstLine="567"/>
        <w:rPr>
          <w:rFonts w:hint="eastAsia"/>
          <w:highlight w:val="none"/>
        </w:rPr>
      </w:pPr>
      <w:r>
        <w:rPr>
          <w:rFonts w:hint="eastAsia"/>
          <w:highlight w:val="none"/>
        </w:rPr>
        <w:t>发生以下情况，甲方可勒令乙方无条件停工整顿。</w:t>
      </w:r>
    </w:p>
    <w:p w14:paraId="08E0E9A5">
      <w:pPr>
        <w:pStyle w:val="11"/>
        <w:numPr>
          <w:ilvl w:val="0"/>
          <w:numId w:val="68"/>
        </w:numPr>
        <w:snapToGrid w:val="0"/>
        <w:spacing w:line="360" w:lineRule="auto"/>
        <w:ind w:left="0" w:leftChars="0" w:right="290" w:firstLine="567"/>
        <w:rPr>
          <w:rFonts w:hint="eastAsia"/>
          <w:highlight w:val="none"/>
        </w:rPr>
      </w:pPr>
      <w:r>
        <w:rPr>
          <w:rFonts w:hint="eastAsia"/>
          <w:highlight w:val="none"/>
        </w:rPr>
        <w:t>发生人身伤亡事故、职业病危害事故、</w:t>
      </w:r>
      <w:r>
        <w:rPr>
          <w:highlight w:val="none"/>
        </w:rPr>
        <w:t>环境</w:t>
      </w:r>
      <w:r>
        <w:rPr>
          <w:rFonts w:hint="eastAsia"/>
          <w:highlight w:val="none"/>
        </w:rPr>
        <w:t>污染事故；</w:t>
      </w:r>
    </w:p>
    <w:p w14:paraId="4D577C86">
      <w:pPr>
        <w:pStyle w:val="11"/>
        <w:numPr>
          <w:ilvl w:val="0"/>
          <w:numId w:val="68"/>
        </w:numPr>
        <w:snapToGrid w:val="0"/>
        <w:spacing w:line="360" w:lineRule="auto"/>
        <w:ind w:left="0" w:leftChars="0" w:right="290" w:firstLine="567"/>
        <w:rPr>
          <w:rFonts w:hint="eastAsia"/>
          <w:highlight w:val="none"/>
        </w:rPr>
      </w:pPr>
      <w:r>
        <w:rPr>
          <w:rFonts w:hint="eastAsia"/>
          <w:highlight w:val="none"/>
        </w:rPr>
        <w:t>发生机械、设备严重损坏事故；</w:t>
      </w:r>
    </w:p>
    <w:p w14:paraId="26E01B54">
      <w:pPr>
        <w:pStyle w:val="11"/>
        <w:numPr>
          <w:ilvl w:val="0"/>
          <w:numId w:val="68"/>
        </w:numPr>
        <w:snapToGrid w:val="0"/>
        <w:spacing w:line="360" w:lineRule="auto"/>
        <w:ind w:left="0" w:leftChars="0" w:right="290" w:firstLine="567"/>
        <w:rPr>
          <w:rFonts w:hint="eastAsia"/>
          <w:highlight w:val="none"/>
        </w:rPr>
      </w:pPr>
      <w:r>
        <w:rPr>
          <w:rFonts w:hint="eastAsia"/>
          <w:highlight w:val="none"/>
        </w:rPr>
        <w:t>发生厂（场）内火灾事故、交通事故；</w:t>
      </w:r>
    </w:p>
    <w:p w14:paraId="0E11F111">
      <w:pPr>
        <w:pStyle w:val="11"/>
        <w:numPr>
          <w:ilvl w:val="0"/>
          <w:numId w:val="68"/>
        </w:numPr>
        <w:snapToGrid w:val="0"/>
        <w:spacing w:line="360" w:lineRule="auto"/>
        <w:ind w:left="0" w:leftChars="0" w:right="290" w:firstLine="567"/>
        <w:rPr>
          <w:rFonts w:hint="eastAsia"/>
          <w:highlight w:val="none"/>
        </w:rPr>
      </w:pPr>
      <w:r>
        <w:rPr>
          <w:rFonts w:hint="eastAsia"/>
          <w:highlight w:val="none"/>
        </w:rPr>
        <w:t>设备、设施、工器具和安全防护用品用具存在重大隐患，可能导致事故发生；</w:t>
      </w:r>
    </w:p>
    <w:p w14:paraId="2E9C8A14">
      <w:pPr>
        <w:pStyle w:val="11"/>
        <w:numPr>
          <w:ilvl w:val="0"/>
          <w:numId w:val="68"/>
        </w:numPr>
        <w:snapToGrid w:val="0"/>
        <w:spacing w:line="360" w:lineRule="auto"/>
        <w:ind w:left="0" w:leftChars="0" w:right="290" w:firstLine="567"/>
        <w:rPr>
          <w:rFonts w:hint="eastAsia"/>
          <w:highlight w:val="none"/>
        </w:rPr>
      </w:pPr>
      <w:r>
        <w:rPr>
          <w:rFonts w:hint="eastAsia"/>
          <w:highlight w:val="none"/>
        </w:rPr>
        <w:t>乙方有严重安健环违法、违规、违章、冒险作业可能导致事故发生的；</w:t>
      </w:r>
    </w:p>
    <w:p w14:paraId="66F96A52">
      <w:pPr>
        <w:pStyle w:val="11"/>
        <w:numPr>
          <w:ilvl w:val="0"/>
          <w:numId w:val="68"/>
        </w:numPr>
        <w:snapToGrid w:val="0"/>
        <w:spacing w:line="360" w:lineRule="auto"/>
        <w:ind w:left="0" w:leftChars="0" w:right="290" w:firstLine="567"/>
        <w:rPr>
          <w:highlight w:val="none"/>
        </w:rPr>
      </w:pPr>
      <w:r>
        <w:rPr>
          <w:rFonts w:hint="eastAsia"/>
          <w:highlight w:val="none"/>
        </w:rPr>
        <w:t>作业现场脏、乱、差，严重影响安全文明环境的；</w:t>
      </w:r>
    </w:p>
    <w:p w14:paraId="4FC9A257">
      <w:pPr>
        <w:pStyle w:val="11"/>
        <w:numPr>
          <w:ilvl w:val="0"/>
          <w:numId w:val="68"/>
        </w:numPr>
        <w:snapToGrid w:val="0"/>
        <w:spacing w:line="360" w:lineRule="auto"/>
        <w:ind w:left="0" w:leftChars="0" w:right="290" w:firstLine="567"/>
        <w:rPr>
          <w:highlight w:val="none"/>
        </w:rPr>
      </w:pPr>
      <w:r>
        <w:rPr>
          <w:rFonts w:hint="eastAsia"/>
          <w:highlight w:val="none"/>
        </w:rPr>
        <w:t>乙方疏于管理可能导致职业危害事故发生的；</w:t>
      </w:r>
    </w:p>
    <w:p w14:paraId="059618ED">
      <w:pPr>
        <w:pStyle w:val="11"/>
        <w:numPr>
          <w:ilvl w:val="0"/>
          <w:numId w:val="68"/>
        </w:numPr>
        <w:snapToGrid w:val="0"/>
        <w:spacing w:line="360" w:lineRule="auto"/>
        <w:ind w:left="0" w:leftChars="0" w:right="290" w:firstLine="567"/>
        <w:rPr>
          <w:rFonts w:hint="eastAsia"/>
          <w:highlight w:val="none"/>
        </w:rPr>
      </w:pPr>
      <w:r>
        <w:rPr>
          <w:rFonts w:hint="eastAsia"/>
          <w:highlight w:val="none"/>
        </w:rPr>
        <w:t>污水、粉尘、有毒气体、噪声和辐射等违规排放，可能导致环保和污染事故；</w:t>
      </w:r>
    </w:p>
    <w:p w14:paraId="38F11AE1">
      <w:pPr>
        <w:pStyle w:val="11"/>
        <w:numPr>
          <w:ilvl w:val="0"/>
          <w:numId w:val="68"/>
        </w:numPr>
        <w:snapToGrid w:val="0"/>
        <w:spacing w:line="360" w:lineRule="auto"/>
        <w:ind w:left="0" w:leftChars="0" w:right="290" w:firstLine="567"/>
        <w:rPr>
          <w:rFonts w:hint="eastAsia"/>
          <w:highlight w:val="none"/>
        </w:rPr>
      </w:pPr>
      <w:r>
        <w:rPr>
          <w:rFonts w:hint="eastAsia"/>
          <w:highlight w:val="none"/>
        </w:rPr>
        <w:t>化学品储存、搬运和使用存在严重隐患，可能导致泄漏、伤害和污染事件的。</w:t>
      </w:r>
    </w:p>
    <w:p w14:paraId="4D26AD53">
      <w:pPr>
        <w:pStyle w:val="11"/>
        <w:numPr>
          <w:ilvl w:val="0"/>
          <w:numId w:val="68"/>
        </w:numPr>
        <w:tabs>
          <w:tab w:val="left" w:pos="993"/>
        </w:tabs>
        <w:snapToGrid w:val="0"/>
        <w:spacing w:line="360" w:lineRule="auto"/>
        <w:ind w:left="0" w:leftChars="0" w:right="290" w:firstLine="567"/>
        <w:rPr>
          <w:rFonts w:hint="eastAsia"/>
          <w:highlight w:val="none"/>
        </w:rPr>
      </w:pPr>
      <w:r>
        <w:rPr>
          <w:rFonts w:hint="eastAsia"/>
          <w:highlight w:val="none"/>
        </w:rPr>
        <w:t>其他因乙方未有效履行有关安健环管理职责和落实有关安健环措施，危及生命财产安全、危及发包方安全生产或可能造成环境污染事故事件。</w:t>
      </w:r>
    </w:p>
    <w:p w14:paraId="08E42CCF">
      <w:pPr>
        <w:pStyle w:val="11"/>
        <w:numPr>
          <w:ilvl w:val="0"/>
          <w:numId w:val="67"/>
        </w:numPr>
        <w:snapToGrid w:val="0"/>
        <w:spacing w:line="360" w:lineRule="auto"/>
        <w:ind w:left="0" w:leftChars="0" w:right="290" w:firstLine="567"/>
        <w:rPr>
          <w:rFonts w:hint="eastAsia"/>
          <w:highlight w:val="none"/>
        </w:rPr>
      </w:pPr>
      <w:r>
        <w:rPr>
          <w:rFonts w:hint="eastAsia"/>
          <w:highlight w:val="none"/>
        </w:rPr>
        <w:t>督促乙方</w:t>
      </w:r>
      <w:r>
        <w:rPr>
          <w:highlight w:val="none"/>
        </w:rPr>
        <w:t>办理</w:t>
      </w:r>
      <w:r>
        <w:rPr>
          <w:rFonts w:hint="eastAsia"/>
          <w:highlight w:val="none"/>
        </w:rPr>
        <w:t>并严格执行相关工作许可文件，</w:t>
      </w:r>
      <w:r>
        <w:rPr>
          <w:highlight w:val="none"/>
        </w:rPr>
        <w:t>如</w:t>
      </w:r>
      <w:r>
        <w:rPr>
          <w:rFonts w:hint="eastAsia"/>
          <w:highlight w:val="none"/>
        </w:rPr>
        <w:t>工作票、开工许可证等。</w:t>
      </w:r>
    </w:p>
    <w:p w14:paraId="5412F3B0">
      <w:pPr>
        <w:pStyle w:val="11"/>
        <w:numPr>
          <w:ilvl w:val="0"/>
          <w:numId w:val="67"/>
        </w:numPr>
        <w:snapToGrid w:val="0"/>
        <w:spacing w:line="360" w:lineRule="auto"/>
        <w:ind w:left="0" w:leftChars="0" w:right="290" w:firstLine="567"/>
        <w:rPr>
          <w:rFonts w:hint="eastAsia"/>
          <w:highlight w:val="none"/>
        </w:rPr>
      </w:pPr>
      <w:r>
        <w:rPr>
          <w:rFonts w:hint="eastAsia"/>
          <w:highlight w:val="none"/>
        </w:rPr>
        <w:t>建立协调机制，协调解决项目实施过程中的安健环问题，检查、布置安健环工作。</w:t>
      </w:r>
    </w:p>
    <w:p w14:paraId="0F074636">
      <w:pPr>
        <w:pStyle w:val="11"/>
        <w:numPr>
          <w:ilvl w:val="0"/>
          <w:numId w:val="67"/>
        </w:numPr>
        <w:snapToGrid w:val="0"/>
        <w:spacing w:line="360" w:lineRule="auto"/>
        <w:ind w:left="0" w:leftChars="0" w:right="290" w:firstLine="567"/>
        <w:rPr>
          <w:rFonts w:hint="eastAsia"/>
          <w:highlight w:val="none"/>
        </w:rPr>
      </w:pPr>
      <w:r>
        <w:rPr>
          <w:rFonts w:hint="eastAsia"/>
          <w:highlight w:val="none"/>
        </w:rPr>
        <w:t>组织或协助上级有关单位进行事故调查处理。对乙方发生的任何一起事故有权要求乙方调查处理。</w:t>
      </w:r>
    </w:p>
    <w:p w14:paraId="04D16D9B">
      <w:pPr>
        <w:pStyle w:val="11"/>
        <w:numPr>
          <w:ilvl w:val="0"/>
          <w:numId w:val="67"/>
        </w:numPr>
        <w:snapToGrid w:val="0"/>
        <w:spacing w:line="360" w:lineRule="auto"/>
        <w:ind w:left="0" w:leftChars="0" w:right="290" w:firstLine="567"/>
        <w:rPr>
          <w:rFonts w:hint="eastAsia"/>
          <w:highlight w:val="none"/>
        </w:rPr>
      </w:pPr>
      <w:r>
        <w:rPr>
          <w:rFonts w:hint="eastAsia"/>
          <w:highlight w:val="none"/>
        </w:rPr>
        <w:t>委托工程监理的项目，可按法规规定及合同约定由工程监理单位依法履行上述的部分甲方责任。</w:t>
      </w:r>
    </w:p>
    <w:p w14:paraId="1A287728">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乙方安健环职责</w:t>
      </w:r>
    </w:p>
    <w:p w14:paraId="0B7E8DE7">
      <w:pPr>
        <w:pStyle w:val="11"/>
        <w:numPr>
          <w:ilvl w:val="0"/>
          <w:numId w:val="69"/>
        </w:numPr>
        <w:snapToGrid w:val="0"/>
        <w:spacing w:line="360" w:lineRule="auto"/>
        <w:ind w:left="0" w:leftChars="0" w:right="290" w:firstLine="567"/>
        <w:rPr>
          <w:highlight w:val="none"/>
        </w:rPr>
      </w:pPr>
      <w:r>
        <w:rPr>
          <w:rFonts w:hint="eastAsia"/>
          <w:highlight w:val="none"/>
        </w:rPr>
        <w:t>乙方对所承包项目的安健环管理全面负责，并承担所承包项目安健环主体责任。实施建设项目总承包的，</w:t>
      </w:r>
      <w:r>
        <w:rPr>
          <w:highlight w:val="none"/>
        </w:rPr>
        <w:t>执行</w:t>
      </w:r>
      <w:r>
        <w:rPr>
          <w:rFonts w:hint="eastAsia"/>
          <w:highlight w:val="none"/>
        </w:rPr>
        <w:t>国家有关规定。</w:t>
      </w:r>
    </w:p>
    <w:p w14:paraId="68D0430A">
      <w:pPr>
        <w:pStyle w:val="11"/>
        <w:numPr>
          <w:ilvl w:val="0"/>
          <w:numId w:val="69"/>
        </w:numPr>
        <w:snapToGrid w:val="0"/>
        <w:spacing w:line="360" w:lineRule="auto"/>
        <w:ind w:left="0" w:leftChars="0" w:right="290" w:firstLine="567"/>
        <w:rPr>
          <w:rFonts w:hint="eastAsia"/>
          <w:highlight w:val="none"/>
        </w:rPr>
      </w:pPr>
      <w:r>
        <w:rPr>
          <w:rFonts w:hint="eastAsia"/>
          <w:highlight w:val="none"/>
        </w:rPr>
        <w:t>乙方负责</w:t>
      </w:r>
      <w:r>
        <w:rPr>
          <w:rFonts w:hint="eastAsia"/>
          <w:highlight w:val="none"/>
          <w:lang w:val="en-GB"/>
        </w:rPr>
        <w:t>宣贯传达并</w:t>
      </w:r>
      <w:r>
        <w:rPr>
          <w:rFonts w:hint="eastAsia"/>
          <w:highlight w:val="none"/>
        </w:rPr>
        <w:t>严格遵守国家、行业有关安健环法律、法规、方针、政策、标准、规定和规范性文件、</w:t>
      </w:r>
      <w:r>
        <w:rPr>
          <w:rFonts w:hint="eastAsia"/>
          <w:highlight w:val="none"/>
          <w:lang w:val="en-GB"/>
        </w:rPr>
        <w:t>操作规程等</w:t>
      </w:r>
      <w:r>
        <w:rPr>
          <w:rFonts w:hint="eastAsia"/>
          <w:highlight w:val="none"/>
        </w:rPr>
        <w:t>要求，</w:t>
      </w:r>
      <w:r>
        <w:rPr>
          <w:rFonts w:hint="eastAsia"/>
          <w:highlight w:val="none"/>
          <w:lang w:val="en-GB"/>
        </w:rPr>
        <w:t>自行宣贯落实并严格</w:t>
      </w:r>
      <w:r>
        <w:rPr>
          <w:rFonts w:hint="eastAsia"/>
          <w:highlight w:val="none"/>
        </w:rPr>
        <w:t>履行法律法规、承包合同、本协议及甲方有关安健环管理制度规定的安健环职责，严格执行甲方安健环管理和安全文明生产等现场规定和规章制度，</w:t>
      </w:r>
      <w:r>
        <w:rPr>
          <w:rFonts w:hint="eastAsia" w:ascii="宋体" w:hAnsi="宋体"/>
          <w:highlight w:val="none"/>
        </w:rPr>
        <w:t>主动依约依规</w:t>
      </w:r>
      <w:r>
        <w:rPr>
          <w:rFonts w:hint="eastAsia"/>
          <w:highlight w:val="none"/>
        </w:rPr>
        <w:t>接受甲方或其委托的监理方的管理、监督、检查和指导。</w:t>
      </w:r>
    </w:p>
    <w:p w14:paraId="6687A20A">
      <w:pPr>
        <w:pStyle w:val="11"/>
        <w:numPr>
          <w:ilvl w:val="0"/>
          <w:numId w:val="69"/>
        </w:numPr>
        <w:snapToGrid w:val="0"/>
        <w:spacing w:line="360" w:lineRule="auto"/>
        <w:ind w:left="0" w:leftChars="0" w:right="290" w:firstLine="567"/>
        <w:rPr>
          <w:rFonts w:hint="eastAsia"/>
          <w:color w:val="FF0000"/>
          <w:highlight w:val="none"/>
        </w:rPr>
      </w:pPr>
      <w:r>
        <w:rPr>
          <w:rFonts w:hint="eastAsia"/>
          <w:color w:val="auto"/>
          <w:highlight w:val="none"/>
          <w:u w:val="single"/>
          <w:lang w:val="en-US" w:eastAsia="zh-CN"/>
        </w:rPr>
        <w:t>乙方应严格执行甲方安全管理网格化要求，接受甲方安全管理网格化培训，全员认真履行日常网格化管理职责，加强日常巡检和隐患排查，及时发现和消除现场安全隐患，接受甲方安全管理网格化监督和考核。</w:t>
      </w:r>
    </w:p>
    <w:p w14:paraId="1219CFA3">
      <w:pPr>
        <w:pStyle w:val="11"/>
        <w:numPr>
          <w:ilvl w:val="0"/>
          <w:numId w:val="69"/>
        </w:numPr>
        <w:snapToGrid w:val="0"/>
        <w:spacing w:line="360" w:lineRule="auto"/>
        <w:ind w:left="0" w:leftChars="0" w:right="290" w:firstLine="567"/>
        <w:rPr>
          <w:rFonts w:hint="eastAsia"/>
          <w:highlight w:val="none"/>
        </w:rPr>
      </w:pPr>
      <w:r>
        <w:rPr>
          <w:rFonts w:hint="eastAsia"/>
          <w:highlight w:val="none"/>
        </w:rPr>
        <w:t>乙方应具备满足所承担承包项目要求的安健环等级资质，持有合法有效的营业执照、资质证书等资质证明。有关资质证明应在开工前书面提交甲方现场审查、备案。</w:t>
      </w:r>
    </w:p>
    <w:p w14:paraId="32576D8D">
      <w:pPr>
        <w:pStyle w:val="11"/>
        <w:numPr>
          <w:ilvl w:val="0"/>
          <w:numId w:val="69"/>
        </w:numPr>
        <w:snapToGrid w:val="0"/>
        <w:spacing w:line="360" w:lineRule="auto"/>
        <w:ind w:left="0" w:leftChars="0" w:right="290" w:firstLine="567"/>
        <w:rPr>
          <w:rFonts w:hint="eastAsia"/>
          <w:highlight w:val="none"/>
        </w:rPr>
      </w:pPr>
      <w:r>
        <w:rPr>
          <w:rFonts w:hint="eastAsia"/>
          <w:highlight w:val="none"/>
        </w:rPr>
        <w:t>乙方应有完善的安健环组织机构和安健环管理体系，</w:t>
      </w:r>
      <w:r>
        <w:rPr>
          <w:rFonts w:hint="eastAsia" w:ascii="宋体" w:hAnsi="宋体" w:cs="Tahoma"/>
          <w:highlight w:val="none"/>
        </w:rPr>
        <w:t>以</w:t>
      </w:r>
      <w:r>
        <w:rPr>
          <w:rFonts w:hint="eastAsia"/>
          <w:highlight w:val="none"/>
        </w:rPr>
        <w:t>确保对本协议的有效贯彻执行。</w:t>
      </w:r>
      <w:r>
        <w:rPr>
          <w:rFonts w:hint="eastAsia" w:ascii="宋体" w:hAnsi="宋体" w:cs="Tahoma"/>
          <w:highlight w:val="none"/>
        </w:rPr>
        <w:t>乙方须</w:t>
      </w:r>
      <w:r>
        <w:rPr>
          <w:rFonts w:hint="eastAsia"/>
          <w:highlight w:val="none"/>
        </w:rPr>
        <w:t>自觉加强</w:t>
      </w:r>
      <w:r>
        <w:rPr>
          <w:rFonts w:hint="eastAsia"/>
          <w:highlight w:val="none"/>
          <w:lang w:val="en-GB"/>
        </w:rPr>
        <w:t>落实</w:t>
      </w:r>
      <w:r>
        <w:rPr>
          <w:rFonts w:hint="eastAsia"/>
          <w:highlight w:val="none"/>
        </w:rPr>
        <w:t>内部安健环管理、监督、检查</w:t>
      </w:r>
      <w:r>
        <w:rPr>
          <w:highlight w:val="none"/>
        </w:rPr>
        <w:t>、</w:t>
      </w:r>
      <w:r>
        <w:rPr>
          <w:rFonts w:hint="eastAsia"/>
          <w:highlight w:val="none"/>
        </w:rPr>
        <w:t>教育、整改和考核，确保安健环费用的有效投入，</w:t>
      </w:r>
      <w:r>
        <w:rPr>
          <w:highlight w:val="none"/>
        </w:rPr>
        <w:t>根据</w:t>
      </w:r>
      <w:r>
        <w:rPr>
          <w:rFonts w:hint="eastAsia"/>
          <w:highlight w:val="none"/>
        </w:rPr>
        <w:t>工程项目</w:t>
      </w:r>
      <w:r>
        <w:rPr>
          <w:highlight w:val="none"/>
        </w:rPr>
        <w:t>的特点组织制定</w:t>
      </w:r>
      <w:r>
        <w:rPr>
          <w:rFonts w:hint="eastAsia"/>
          <w:highlight w:val="none"/>
        </w:rPr>
        <w:t>安健环管理</w:t>
      </w:r>
      <w:r>
        <w:rPr>
          <w:highlight w:val="none"/>
        </w:rPr>
        <w:t>措施，消除事故隐患，及时、如实报告生产安全事故</w:t>
      </w:r>
      <w:r>
        <w:rPr>
          <w:rFonts w:hint="eastAsia"/>
          <w:highlight w:val="none"/>
        </w:rPr>
        <w:t>、</w:t>
      </w:r>
      <w:r>
        <w:rPr>
          <w:highlight w:val="none"/>
        </w:rPr>
        <w:t>事件</w:t>
      </w:r>
      <w:r>
        <w:rPr>
          <w:rFonts w:hint="eastAsia"/>
          <w:highlight w:val="none"/>
        </w:rPr>
        <w:t>。</w:t>
      </w:r>
    </w:p>
    <w:p w14:paraId="43EDA39B">
      <w:pPr>
        <w:pStyle w:val="11"/>
        <w:numPr>
          <w:ilvl w:val="0"/>
          <w:numId w:val="69"/>
        </w:numPr>
        <w:snapToGrid w:val="0"/>
        <w:spacing w:line="360" w:lineRule="auto"/>
        <w:ind w:left="0" w:leftChars="0" w:right="290" w:firstLine="567"/>
        <w:rPr>
          <w:highlight w:val="none"/>
        </w:rPr>
      </w:pPr>
      <w:r>
        <w:rPr>
          <w:rFonts w:hint="eastAsia" w:ascii="宋体" w:hAnsi="宋体"/>
          <w:highlight w:val="none"/>
        </w:rPr>
        <w:t>乙方现场从业人员超过50人（含50人）的，必须设置安全生产监督管理机构。乙方应同时按现场管理需要配备专职安全管理人员，从业人员超过300人的不得少于3人；从业人员在50人以下30人以上（含30人）的必须配备专职安全监督管理人员，从业人员在30人以下的应配备专职或兼职安全监督管理人员。主体工程监理单位，应设置安全生产监督管理机构，专职安全管理人员不得少于3人；非主体工程的监理单位，应配备专职安全监督管理人员。其他参建单位应按法规要求设立安全生产监督管理机构或配备安全管理人员。</w:t>
      </w:r>
    </w:p>
    <w:p w14:paraId="268D3FD0">
      <w:pPr>
        <w:pStyle w:val="11"/>
        <w:numPr>
          <w:ilvl w:val="0"/>
          <w:numId w:val="69"/>
        </w:numPr>
        <w:snapToGrid w:val="0"/>
        <w:spacing w:line="360" w:lineRule="auto"/>
        <w:ind w:left="0" w:leftChars="0" w:right="290" w:firstLine="567"/>
        <w:rPr>
          <w:highlight w:val="none"/>
        </w:rPr>
      </w:pPr>
      <w:r>
        <w:rPr>
          <w:rFonts w:hint="eastAsia"/>
          <w:highlight w:val="none"/>
        </w:rPr>
        <w:t>乙方主要负责人、项目负责人、安全生产管理人员、特种作业人员、危化品从业人员及法律法规要求应持证的其他从业人员，均应当按照国家有关法律法规规定接受培训，持证上岗。开工前，有关人员资质证件应书面提交甲方现场审查、备案。新改扩建建设工程乙方主要负责人还应最低持有：一级</w:t>
      </w:r>
      <w:r>
        <w:rPr>
          <w:highlight w:val="none"/>
        </w:rPr>
        <w:t>建造师</w:t>
      </w:r>
      <w:r>
        <w:rPr>
          <w:rFonts w:hint="eastAsia"/>
          <w:highlight w:val="none"/>
        </w:rPr>
        <w:t>证和安全员B证；安全负责人最低应持有注册安全工程师证和建设主管部门颁发的安全</w:t>
      </w:r>
      <w:r>
        <w:rPr>
          <w:highlight w:val="none"/>
        </w:rPr>
        <w:t>C</w:t>
      </w:r>
      <w:r>
        <w:rPr>
          <w:rFonts w:hint="eastAsia"/>
          <w:highlight w:val="none"/>
        </w:rPr>
        <w:t>证；</w:t>
      </w:r>
      <w:r>
        <w:rPr>
          <w:highlight w:val="none"/>
        </w:rPr>
        <w:t>安全</w:t>
      </w:r>
      <w:r>
        <w:rPr>
          <w:rFonts w:hint="eastAsia"/>
          <w:highlight w:val="none"/>
        </w:rPr>
        <w:t>管理人员最低持有建设主管部门颁发的安全</w:t>
      </w:r>
      <w:r>
        <w:rPr>
          <w:highlight w:val="none"/>
        </w:rPr>
        <w:t>C</w:t>
      </w:r>
      <w:r>
        <w:rPr>
          <w:rFonts w:hint="eastAsia"/>
          <w:highlight w:val="none"/>
        </w:rPr>
        <w:t>证；监理安全管理负责人应最低持有注册安全工程师证；监理安全管理人员应最低持有安全监理员证。</w:t>
      </w:r>
    </w:p>
    <w:p w14:paraId="55163A93">
      <w:pPr>
        <w:pStyle w:val="11"/>
        <w:numPr>
          <w:ilvl w:val="0"/>
          <w:numId w:val="69"/>
        </w:numPr>
        <w:snapToGrid w:val="0"/>
        <w:spacing w:line="360" w:lineRule="auto"/>
        <w:ind w:left="0" w:leftChars="0" w:right="290" w:firstLine="567"/>
        <w:rPr>
          <w:rFonts w:hint="eastAsia"/>
          <w:highlight w:val="none"/>
        </w:rPr>
      </w:pPr>
      <w:r>
        <w:rPr>
          <w:rFonts w:hint="eastAsia"/>
          <w:highlight w:val="none"/>
        </w:rPr>
        <w:t>乙方现场到岗项目经理、</w:t>
      </w:r>
      <w:r>
        <w:rPr>
          <w:highlight w:val="none"/>
        </w:rPr>
        <w:t>技术</w:t>
      </w:r>
      <w:r>
        <w:rPr>
          <w:rFonts w:hint="eastAsia"/>
          <w:highlight w:val="none"/>
        </w:rPr>
        <w:t>负责人、安全负责人、监理总监、</w:t>
      </w:r>
      <w:r>
        <w:rPr>
          <w:highlight w:val="none"/>
        </w:rPr>
        <w:t>安全</w:t>
      </w:r>
      <w:r>
        <w:rPr>
          <w:rFonts w:hint="eastAsia"/>
          <w:highlight w:val="none"/>
        </w:rPr>
        <w:t>监理等主要岗位人员必须与投标文件一致，工作能力和履责表现应符合现场安全生产要求，</w:t>
      </w:r>
      <w:r>
        <w:rPr>
          <w:highlight w:val="none"/>
        </w:rPr>
        <w:t>不得</w:t>
      </w:r>
      <w:r>
        <w:rPr>
          <w:rFonts w:hint="eastAsia"/>
          <w:highlight w:val="none"/>
        </w:rPr>
        <w:t>擅自更换、不得设置其他岗位代替其履行职责。主要岗位人员必须全职常驻现场履责，严禁无故离岗、严禁他人代签署文件资料。</w:t>
      </w:r>
    </w:p>
    <w:p w14:paraId="6F903BED">
      <w:pPr>
        <w:pStyle w:val="11"/>
        <w:numPr>
          <w:ilvl w:val="0"/>
          <w:numId w:val="69"/>
        </w:numPr>
        <w:snapToGrid w:val="0"/>
        <w:spacing w:line="360" w:lineRule="auto"/>
        <w:ind w:left="0" w:leftChars="0" w:right="290" w:firstLine="567"/>
        <w:rPr>
          <w:rFonts w:hint="eastAsia"/>
          <w:highlight w:val="none"/>
        </w:rPr>
      </w:pPr>
      <w:r>
        <w:rPr>
          <w:rFonts w:hint="eastAsia"/>
          <w:highlight w:val="none"/>
        </w:rPr>
        <w:t>乙方应依法合规用工，加强协调管理，杜绝因劳资纠纷引起的社会安全事件。</w:t>
      </w:r>
    </w:p>
    <w:p w14:paraId="28E11040">
      <w:pPr>
        <w:pStyle w:val="11"/>
        <w:numPr>
          <w:ilvl w:val="0"/>
          <w:numId w:val="69"/>
        </w:numPr>
        <w:snapToGrid w:val="0"/>
        <w:spacing w:line="360" w:lineRule="auto"/>
        <w:ind w:left="0" w:leftChars="0" w:right="290" w:firstLine="567"/>
        <w:rPr>
          <w:rFonts w:hint="eastAsia"/>
          <w:highlight w:val="none"/>
        </w:rPr>
      </w:pPr>
      <w:r>
        <w:rPr>
          <w:rFonts w:hint="eastAsia"/>
          <w:highlight w:val="none"/>
        </w:rPr>
        <w:t>乙方所有工作人员的身体状况符合工程要求，严禁使用未成年工、有犯罪前科人员和不适应现场安全施工要求的老、弱、病、残和职业禁忌症人员。</w:t>
      </w:r>
    </w:p>
    <w:p w14:paraId="725B0CEE">
      <w:pPr>
        <w:pStyle w:val="11"/>
        <w:numPr>
          <w:ilvl w:val="0"/>
          <w:numId w:val="69"/>
        </w:numPr>
        <w:snapToGrid w:val="0"/>
        <w:spacing w:line="360" w:lineRule="auto"/>
        <w:ind w:left="0" w:leftChars="0" w:right="290" w:firstLine="567"/>
        <w:rPr>
          <w:rFonts w:hint="eastAsia"/>
          <w:highlight w:val="none"/>
        </w:rPr>
      </w:pPr>
      <w:r>
        <w:rPr>
          <w:rFonts w:hint="eastAsia"/>
          <w:highlight w:val="none"/>
        </w:rPr>
        <w:t>乙方应对所有进入甲方现场的人员（含增补或调换人员、更换工种等）进行入场（厂）安健环教育培训，并经考试合格后方可上岗，培训考核结果提交甲方现场备案。</w:t>
      </w:r>
    </w:p>
    <w:p w14:paraId="77E1B350">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乙方人员进入生产现场必须办理入场（厂）手续，作业前应按甲方有关规定办理开工许可、工作票、工作许可或授权。未经许可或授权不得擅自进入非授权场所，不得擅自开工。</w:t>
      </w:r>
    </w:p>
    <w:p w14:paraId="573551F4">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乙方必须为进入现场的所有人员配备足够齐全合格的个人安健</w:t>
      </w:r>
      <w:r>
        <w:rPr>
          <w:highlight w:val="none"/>
        </w:rPr>
        <w:t>环</w:t>
      </w:r>
      <w:r>
        <w:rPr>
          <w:rFonts w:hint="eastAsia"/>
          <w:highlight w:val="none"/>
        </w:rPr>
        <w:t>防护用品，并自行督促正确佩戴使用，自行加强日常培训和落实管理工作，</w:t>
      </w:r>
      <w:r>
        <w:rPr>
          <w:rFonts w:hint="eastAsia" w:ascii="宋体" w:hAnsi="宋体" w:cs="Tahoma"/>
          <w:highlight w:val="none"/>
        </w:rPr>
        <w:t>杜绝</w:t>
      </w:r>
      <w:r>
        <w:rPr>
          <w:rFonts w:hint="eastAsia"/>
          <w:highlight w:val="none"/>
        </w:rPr>
        <w:t>安健</w:t>
      </w:r>
      <w:r>
        <w:rPr>
          <w:rFonts w:ascii="宋体" w:hAnsi="宋体" w:cs="宋体"/>
          <w:highlight w:val="none"/>
        </w:rPr>
        <w:t>环</w:t>
      </w:r>
      <w:r>
        <w:rPr>
          <w:rFonts w:hint="eastAsia"/>
          <w:highlight w:val="none"/>
        </w:rPr>
        <w:t>等责任事故或事件的发生。</w:t>
      </w:r>
    </w:p>
    <w:p w14:paraId="625175FD">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乙方必须评估并制定现场职业病危害因素防控措施，杜绝职业病危害事故发生。</w:t>
      </w:r>
    </w:p>
    <w:p w14:paraId="727F6356">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w:t>
      </w:r>
      <w:r>
        <w:rPr>
          <w:rFonts w:hint="eastAsia" w:ascii="宋体" w:hAnsi="宋体" w:cs="Tahoma"/>
          <w:highlight w:val="none"/>
        </w:rPr>
        <w:t>按照法律法规和</w:t>
      </w:r>
      <w:r>
        <w:rPr>
          <w:rFonts w:hint="eastAsia" w:ascii="宋体" w:hAnsi="宋体"/>
          <w:highlight w:val="none"/>
        </w:rPr>
        <w:t>有关规定，</w:t>
      </w:r>
      <w:r>
        <w:rPr>
          <w:rFonts w:hint="eastAsia"/>
          <w:highlight w:val="none"/>
        </w:rPr>
        <w:t>必须为其进入现场的全部作业人员办理覆盖整个工程期间的必要医疗、工伤、意外伤害等保险，并在甲方现场备案。工伤保险不得替代意外伤害保险。</w:t>
      </w:r>
    </w:p>
    <w:p w14:paraId="2C2625B3">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应使用合格的机械（含车辆）、工器具及安全防护设施、安全用具，各类特种设备、工、用、机具必须经过质监部门或有关技术部门定期检验合格。开工前乙方必须完成自查，并向甲方现场提交清单及自查结果。不合格的，不得进入作业现场。</w:t>
      </w:r>
    </w:p>
    <w:p w14:paraId="344B2AA0">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乙方进出甲方安保区域的车辆，必须按甲方现场规定办理通行证件，并接受甲方现场保安人员的检查。</w:t>
      </w:r>
    </w:p>
    <w:p w14:paraId="556D1B54">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乙方开工前须针对复杂、危险、专业性较强、风险较大的作业或危险区域作业制定专门的安健环技术</w:t>
      </w:r>
      <w:r>
        <w:rPr>
          <w:highlight w:val="none"/>
        </w:rPr>
        <w:t>措施或</w:t>
      </w:r>
      <w:r>
        <w:rPr>
          <w:rFonts w:hint="eastAsia"/>
          <w:highlight w:val="none"/>
        </w:rPr>
        <w:t>专项施工方案，由甲方或监理单位审查合格并监督实施。甲方或监理方的有关参与行为，将不分摊或减免乙方的安健环责任。对</w:t>
      </w:r>
      <w:r>
        <w:rPr>
          <w:highlight w:val="none"/>
        </w:rPr>
        <w:t>达到一定规模</w:t>
      </w:r>
      <w:r>
        <w:rPr>
          <w:rFonts w:hint="eastAsia"/>
          <w:highlight w:val="none"/>
        </w:rPr>
        <w:t>及</w:t>
      </w:r>
      <w:r>
        <w:rPr>
          <w:highlight w:val="none"/>
        </w:rPr>
        <w:t>以上危险性较大</w:t>
      </w:r>
      <w:r>
        <w:rPr>
          <w:rFonts w:hint="eastAsia"/>
          <w:highlight w:val="none"/>
        </w:rPr>
        <w:t>的</w:t>
      </w:r>
      <w:r>
        <w:rPr>
          <w:highlight w:val="none"/>
        </w:rPr>
        <w:t>工程，</w:t>
      </w:r>
      <w:r>
        <w:rPr>
          <w:rFonts w:hint="eastAsia"/>
          <w:highlight w:val="none"/>
        </w:rPr>
        <w:t>国家、行业规定必须进行专家论证的，应从其规定。</w:t>
      </w:r>
    </w:p>
    <w:p w14:paraId="217B956F">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乙方负责组织项目或分项作业开工前的安全技术交底，并将交底内容和交底人、被交底人签字的记录，一份存档，另一份送达甲方现场安全负责人备案。</w:t>
      </w:r>
    </w:p>
    <w:p w14:paraId="3E56F13D">
      <w:pPr>
        <w:pStyle w:val="11"/>
        <w:numPr>
          <w:ilvl w:val="0"/>
          <w:numId w:val="69"/>
        </w:numPr>
        <w:tabs>
          <w:tab w:val="left" w:pos="993"/>
        </w:tabs>
        <w:snapToGrid w:val="0"/>
        <w:spacing w:line="360" w:lineRule="auto"/>
        <w:ind w:left="0" w:leftChars="0" w:right="290" w:firstLine="567"/>
        <w:rPr>
          <w:highlight w:val="none"/>
        </w:rPr>
      </w:pPr>
      <w:r>
        <w:rPr>
          <w:rFonts w:hint="eastAsia"/>
          <w:highlight w:val="none"/>
        </w:rPr>
        <w:t>乙方应</w:t>
      </w:r>
      <w:r>
        <w:rPr>
          <w:highlight w:val="none"/>
        </w:rPr>
        <w:t>落实</w:t>
      </w:r>
      <w:r>
        <w:rPr>
          <w:rFonts w:hint="eastAsia"/>
          <w:highlight w:val="none"/>
        </w:rPr>
        <w:t>文明生产各项要求，安全</w:t>
      </w:r>
      <w:r>
        <w:rPr>
          <w:highlight w:val="none"/>
        </w:rPr>
        <w:t>设施及安全警示标志齐全，</w:t>
      </w:r>
      <w:r>
        <w:rPr>
          <w:rFonts w:hint="eastAsia"/>
          <w:highlight w:val="none"/>
        </w:rPr>
        <w:t>作业区域装设临时围栏（必要时</w:t>
      </w:r>
      <w:r>
        <w:rPr>
          <w:highlight w:val="none"/>
        </w:rPr>
        <w:t>实施封闭作业</w:t>
      </w:r>
      <w:r>
        <w:rPr>
          <w:rFonts w:hint="eastAsia"/>
          <w:highlight w:val="none"/>
        </w:rPr>
        <w:t>），夜间设置警告灯。不得超越指定的作业区域作业。未经甲方事前同意，不得擅自动用甲方设备设施，不得擅自拆除、变更甲方防护设施及安全标志。</w:t>
      </w:r>
    </w:p>
    <w:p w14:paraId="653876B9">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乙方在项目实施过程中不得超范围工作，</w:t>
      </w:r>
      <w:r>
        <w:rPr>
          <w:highlight w:val="none"/>
        </w:rPr>
        <w:t>不得</w:t>
      </w:r>
      <w:r>
        <w:rPr>
          <w:rFonts w:hint="eastAsia"/>
          <w:highlight w:val="none"/>
        </w:rPr>
        <w:t>随意碰触无关设备或改变状态，</w:t>
      </w:r>
      <w:r>
        <w:rPr>
          <w:highlight w:val="none"/>
        </w:rPr>
        <w:t>对施工可能造成损害的毗邻建构筑物、设施设备、</w:t>
      </w:r>
      <w:r>
        <w:rPr>
          <w:rFonts w:hint="eastAsia"/>
          <w:highlight w:val="none"/>
        </w:rPr>
        <w:t>地下</w:t>
      </w:r>
      <w:r>
        <w:rPr>
          <w:highlight w:val="none"/>
        </w:rPr>
        <w:t>管线等应采取专项保护措施</w:t>
      </w:r>
      <w:r>
        <w:rPr>
          <w:rFonts w:hint="eastAsia"/>
          <w:highlight w:val="none"/>
        </w:rPr>
        <w:t>。</w:t>
      </w:r>
    </w:p>
    <w:p w14:paraId="575164EE">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乙方需使用水、电、气源，必须提出申请并执行甲方相关规定，不得私拉乱接。乙方作业过程中必须严格执行国家、行业有关法律法规和规范性文件要求以及甲方的规章制度，安全用水、用电、用气。</w:t>
      </w:r>
    </w:p>
    <w:p w14:paraId="7D508539">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乙方施工过程中必须对现场进行定置管理，做到“三不落地”（材料、工具、水和油不落地），保持地面整洁及自觉保护环境（如草地、树木、绿化带等），如有损坏要负责恢复、赔偿。</w:t>
      </w:r>
    </w:p>
    <w:p w14:paraId="74A7B2BC">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 xml:space="preserve">乙方负责对施工过程中物料和废料进行分类管理，采取措施防止扬尘、泄漏、污染事件，作业后，必须做到工完、料净、场地清。 </w:t>
      </w:r>
    </w:p>
    <w:p w14:paraId="51C216F1">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乙方负责采取措施，防治工程项目实施过程中产生的废气、废水、废渣、粉尘、恶臭气体、放射性物质以及噪声、振动、光辐射、电磁辐射等对环境的污染和危害。污染物处置、排放必须依法合规且达标。</w:t>
      </w:r>
      <w:r>
        <w:rPr>
          <w:highlight w:val="none"/>
        </w:rPr>
        <w:t>采取措施避免施工中产生的灰尘、噪音、强光、废水等有害污染物影响到施工及周边区域的环境及人员健康。</w:t>
      </w:r>
    </w:p>
    <w:p w14:paraId="20FC5B2D">
      <w:pPr>
        <w:pStyle w:val="11"/>
        <w:numPr>
          <w:ilvl w:val="0"/>
          <w:numId w:val="69"/>
        </w:numPr>
        <w:tabs>
          <w:tab w:val="left" w:pos="993"/>
        </w:tabs>
        <w:snapToGrid w:val="0"/>
        <w:spacing w:line="360" w:lineRule="auto"/>
        <w:ind w:left="0" w:leftChars="0" w:right="290" w:firstLine="567"/>
        <w:rPr>
          <w:color w:val="auto"/>
          <w:highlight w:val="none"/>
          <w:u w:val="single"/>
        </w:rPr>
      </w:pPr>
      <w:r>
        <w:rPr>
          <w:rFonts w:hint="eastAsia"/>
          <w:color w:val="auto"/>
          <w:highlight w:val="none"/>
          <w:u w:val="single"/>
        </w:rPr>
        <w:t>乙方</w:t>
      </w:r>
      <w:r>
        <w:rPr>
          <w:rFonts w:hint="eastAsia"/>
          <w:color w:val="auto"/>
          <w:highlight w:val="none"/>
          <w:u w:val="single"/>
          <w:lang w:val="en-US" w:eastAsia="zh-CN"/>
        </w:rPr>
        <w:t>应加强所承包项目安健环管理，作业过程严格遵守《电力建设安全工作规程》、《电业安全工作规程》、《建筑施工高处作业施工规范》、《施工现场临时用电安全技术规范》、《建筑深基坑工程施工安全技术规范》、《建筑施工扣件式钢管脚手架安全技术规范》、《建筑施工安全检查标准》等规范、标准规定，符合甲方《深能环保生产企业安全管理指引》、《深能环保检修安全管理指引》、《深能环保基建工程安全文明施工标准》等标准、指引要求，杜绝以下习惯性违章行为（包括但不限于以下内容）主要有：</w:t>
      </w:r>
    </w:p>
    <w:p w14:paraId="011AD744">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进入施工现场未戴安全帽，或安全帽没有正确佩戴，安全帽带未系紧</w:t>
      </w:r>
    </w:p>
    <w:p w14:paraId="0EB13E70">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着装不规范（如：未戴出入证，工作服未扣好钮扣，穿背心、短裤、裙子、拖鞋、高跟鞋进入施工现场，踩鞋后跟等）</w:t>
      </w:r>
    </w:p>
    <w:p w14:paraId="72691354">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特种工种无证作业</w:t>
      </w:r>
    </w:p>
    <w:p w14:paraId="0946ABE9">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超负荷或超期限使用电气、机械设备</w:t>
      </w:r>
    </w:p>
    <w:p w14:paraId="792BA0F6">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酒后进入施工现场，在现场睡觉</w:t>
      </w:r>
    </w:p>
    <w:p w14:paraId="18FF6EAA">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未按规定布置或擅自拆除、损坏、移动安全设施、标志、警告牌</w:t>
      </w:r>
    </w:p>
    <w:p w14:paraId="34264FDA">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检修、清理运行中设备</w:t>
      </w:r>
    </w:p>
    <w:p w14:paraId="0A82EE95">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各类施工机械、电气安全保护装置不齐</w:t>
      </w:r>
    </w:p>
    <w:p w14:paraId="32CEA374">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机械设备的电气、转动部件外露部分无防护装置</w:t>
      </w:r>
    </w:p>
    <w:p w14:paraId="7FFDDB89">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使用不合格的设备、机械、工器具、劳动保护用品</w:t>
      </w:r>
    </w:p>
    <w:p w14:paraId="5190F029">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夜间或光线不足地点未有充足照明或警示红灯</w:t>
      </w:r>
    </w:p>
    <w:p w14:paraId="1C20BFF1">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起吊、存放零散物件未做好防坠措施</w:t>
      </w:r>
    </w:p>
    <w:p w14:paraId="52439EC6">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对地下设施、管线不采取保护、标识措施</w:t>
      </w:r>
    </w:p>
    <w:p w14:paraId="08E6F40F">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交叉、起重、带电作业未有隔离措施、警戒区域，并未设专人监护</w:t>
      </w:r>
    </w:p>
    <w:p w14:paraId="47B1B9DA">
      <w:pPr>
        <w:pStyle w:val="11"/>
        <w:numPr>
          <w:ilvl w:val="0"/>
          <w:numId w:val="70"/>
        </w:numPr>
        <w:tabs>
          <w:tab w:val="left" w:pos="993"/>
          <w:tab w:val="clear" w:pos="0"/>
        </w:tabs>
        <w:snapToGrid w:val="0"/>
        <w:spacing w:line="360" w:lineRule="auto"/>
        <w:ind w:left="454" w:leftChars="0" w:right="254" w:rightChars="121" w:hanging="454" w:firstLineChars="0"/>
        <w:rPr>
          <w:rFonts w:hint="eastAsia"/>
          <w:color w:val="auto"/>
          <w:highlight w:val="none"/>
          <w:u w:val="single"/>
        </w:rPr>
      </w:pPr>
      <w:r>
        <w:rPr>
          <w:rFonts w:hint="eastAsia"/>
          <w:color w:val="auto"/>
          <w:highlight w:val="none"/>
          <w:u w:val="single"/>
        </w:rPr>
        <w:t>密闭容器内、潮湿地点电源未使用安全电压或设置漏电保护开关，密闭容器未有良好通风、未设专人监护</w:t>
      </w:r>
    </w:p>
    <w:p w14:paraId="0B75FB32">
      <w:pPr>
        <w:pStyle w:val="11"/>
        <w:numPr>
          <w:ilvl w:val="0"/>
          <w:numId w:val="70"/>
        </w:numPr>
        <w:tabs>
          <w:tab w:val="left" w:pos="993"/>
          <w:tab w:val="clear" w:pos="0"/>
        </w:tabs>
        <w:snapToGrid w:val="0"/>
        <w:spacing w:line="360" w:lineRule="auto"/>
        <w:ind w:left="454" w:leftChars="0" w:right="254" w:rightChars="121" w:hanging="454" w:firstLineChars="0"/>
        <w:rPr>
          <w:color w:val="auto"/>
          <w:highlight w:val="none"/>
          <w:u w:val="single"/>
        </w:rPr>
      </w:pPr>
      <w:r>
        <w:rPr>
          <w:rFonts w:hint="eastAsia"/>
          <w:color w:val="auto"/>
          <w:highlight w:val="none"/>
          <w:u w:val="single"/>
        </w:rPr>
        <w:t>梯长不按规定驳长使用或放置不稳，多人同时站在梯子上作业</w:t>
      </w:r>
    </w:p>
    <w:p w14:paraId="451101AC">
      <w:pPr>
        <w:pStyle w:val="11"/>
        <w:numPr>
          <w:ilvl w:val="0"/>
          <w:numId w:val="70"/>
        </w:numPr>
        <w:tabs>
          <w:tab w:val="left" w:pos="993"/>
          <w:tab w:val="clear" w:pos="0"/>
        </w:tabs>
        <w:snapToGrid w:val="0"/>
        <w:spacing w:line="360" w:lineRule="auto"/>
        <w:ind w:left="454" w:leftChars="0" w:right="254" w:rightChars="121" w:hanging="454" w:firstLineChars="0"/>
        <w:rPr>
          <w:highlight w:val="none"/>
        </w:rPr>
      </w:pPr>
      <w:r>
        <w:rPr>
          <w:rFonts w:hint="eastAsia"/>
          <w:color w:val="auto"/>
          <w:highlight w:val="none"/>
          <w:u w:val="single"/>
          <w:lang w:val="en-US" w:eastAsia="zh-CN"/>
        </w:rPr>
        <w:t>其他不符合高处作业、土石方作业、施工用电、深基坑作业、脚手架作业、模板工程、起重作业、有限空间作业、危化品管理、调试施工等作业规范的行为。</w:t>
      </w:r>
    </w:p>
    <w:p w14:paraId="73A6C515">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乙方应根据工作范围、作业环境以及工程项目的特点，对施工现场容易引发安全生产事故的危险源、危险部位、危险环节进行监控，并制定施工现场安全应急预案, 建立应急救援组织、配备应急物资和器材，并定期组织应急培训和演练。</w:t>
      </w:r>
    </w:p>
    <w:p w14:paraId="0511FA45">
      <w:pPr>
        <w:pStyle w:val="11"/>
        <w:numPr>
          <w:ilvl w:val="0"/>
          <w:numId w:val="69"/>
        </w:numPr>
        <w:tabs>
          <w:tab w:val="left" w:pos="993"/>
        </w:tabs>
        <w:snapToGrid w:val="0"/>
        <w:spacing w:line="360" w:lineRule="auto"/>
        <w:ind w:left="0" w:leftChars="0" w:right="290" w:firstLine="567"/>
        <w:rPr>
          <w:highlight w:val="none"/>
        </w:rPr>
      </w:pPr>
      <w:r>
        <w:rPr>
          <w:rFonts w:hint="eastAsia"/>
          <w:highlight w:val="none"/>
        </w:rPr>
        <w:t>发生人身、设备、火灾、环境污染等事故或危及生产运行的不安全情况及其他不安全和环境污染事件时，乙方须首先救治伤员，及时向甲方报告，并积极落实应急措施防止事态扩大、减少事故损失。同时应保护好事故现场，视事故事件大小、类别按有关规定向政府有关部门报告。执行国家事故信息上报规定，并按国家的有关规定开展事故调查处理。</w:t>
      </w:r>
    </w:p>
    <w:p w14:paraId="3C00D57A">
      <w:pPr>
        <w:pStyle w:val="11"/>
        <w:numPr>
          <w:ilvl w:val="0"/>
          <w:numId w:val="69"/>
        </w:numPr>
        <w:tabs>
          <w:tab w:val="left" w:pos="993"/>
        </w:tabs>
        <w:snapToGrid w:val="0"/>
        <w:spacing w:line="360" w:lineRule="auto"/>
        <w:ind w:left="0" w:leftChars="0" w:right="290" w:firstLine="567"/>
        <w:rPr>
          <w:rFonts w:hint="eastAsia"/>
          <w:highlight w:val="none"/>
        </w:rPr>
      </w:pPr>
      <w:r>
        <w:rPr>
          <w:rFonts w:hint="eastAsia"/>
          <w:highlight w:val="none"/>
        </w:rPr>
        <w:t>项目</w:t>
      </w:r>
      <w:r>
        <w:rPr>
          <w:highlight w:val="none"/>
        </w:rPr>
        <w:t>建设工程实行施工总承包的，由总承包单位对施工现场的</w:t>
      </w:r>
      <w:r>
        <w:rPr>
          <w:rFonts w:hint="eastAsia"/>
          <w:highlight w:val="none"/>
        </w:rPr>
        <w:t>安健环管理特别是</w:t>
      </w:r>
      <w:r>
        <w:rPr>
          <w:highlight w:val="none"/>
        </w:rPr>
        <w:t>安全生产方面负总责。总承包单位依法合规并事前签订书面合约将建设工程分包给其他单位的，</w:t>
      </w:r>
      <w:r>
        <w:rPr>
          <w:rFonts w:hint="eastAsia"/>
          <w:highlight w:val="none"/>
        </w:rPr>
        <w:t>总承包单位要按甲方有关规定和要求对项目分包商进行严格审查，不合格的不得承接分包项目，严禁层层转包。总承包单位必须与分包方签订安健环管理协议，明确双方管理职责和应采取的安健环措施。总承包单位须将分包方纳入到自己的管理范围，并对其安健环管理过程和结果负连带责任。</w:t>
      </w:r>
      <w:r>
        <w:rPr>
          <w:highlight w:val="none"/>
        </w:rPr>
        <w:t>分包单位必须服从总承包单位的</w:t>
      </w:r>
      <w:r>
        <w:rPr>
          <w:rFonts w:hint="eastAsia"/>
          <w:highlight w:val="none"/>
        </w:rPr>
        <w:t>安健环</w:t>
      </w:r>
      <w:r>
        <w:rPr>
          <w:highlight w:val="none"/>
        </w:rPr>
        <w:t>管理，</w:t>
      </w:r>
      <w:r>
        <w:rPr>
          <w:rFonts w:hint="eastAsia"/>
          <w:highlight w:val="none"/>
        </w:rPr>
        <w:t>因</w:t>
      </w:r>
      <w:r>
        <w:rPr>
          <w:highlight w:val="none"/>
        </w:rPr>
        <w:t>分包单位不服从管理导致</w:t>
      </w:r>
      <w:r>
        <w:rPr>
          <w:rFonts w:hint="eastAsia"/>
          <w:highlight w:val="none"/>
        </w:rPr>
        <w:t>安健环</w:t>
      </w:r>
      <w:r>
        <w:rPr>
          <w:highlight w:val="none"/>
        </w:rPr>
        <w:t>事故</w:t>
      </w:r>
      <w:r>
        <w:rPr>
          <w:rFonts w:hint="eastAsia"/>
          <w:highlight w:val="none"/>
        </w:rPr>
        <w:t>、事件</w:t>
      </w:r>
      <w:r>
        <w:rPr>
          <w:highlight w:val="none"/>
        </w:rPr>
        <w:t>的，由分包单位承担主要责任。</w:t>
      </w:r>
    </w:p>
    <w:p w14:paraId="4FDDEA8F">
      <w:pPr>
        <w:pStyle w:val="11"/>
        <w:numPr>
          <w:ilvl w:val="0"/>
          <w:numId w:val="69"/>
        </w:numPr>
        <w:tabs>
          <w:tab w:val="left" w:pos="993"/>
        </w:tabs>
        <w:snapToGrid w:val="0"/>
        <w:spacing w:line="360" w:lineRule="auto"/>
        <w:ind w:left="0" w:leftChars="0" w:right="290" w:firstLine="567"/>
        <w:rPr>
          <w:rFonts w:hint="eastAsia"/>
          <w:highlight w:val="none"/>
        </w:rPr>
      </w:pPr>
      <w:r>
        <w:rPr>
          <w:highlight w:val="none"/>
        </w:rPr>
        <w:t>承包人应承担各类事件后的维稳运作和费用</w:t>
      </w:r>
      <w:r>
        <w:rPr>
          <w:rFonts w:hint="eastAsia"/>
          <w:highlight w:val="none"/>
        </w:rPr>
        <w:t>。</w:t>
      </w:r>
    </w:p>
    <w:p w14:paraId="058520F4">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违约责任与违约金扣缴或处罚</w:t>
      </w:r>
    </w:p>
    <w:p w14:paraId="23C383B6">
      <w:pPr>
        <w:pStyle w:val="11"/>
        <w:numPr>
          <w:ilvl w:val="0"/>
          <w:numId w:val="71"/>
        </w:numPr>
        <w:snapToGrid w:val="0"/>
        <w:spacing w:line="360" w:lineRule="auto"/>
        <w:ind w:left="0" w:leftChars="0" w:right="290" w:firstLine="567"/>
        <w:rPr>
          <w:highlight w:val="none"/>
        </w:rPr>
      </w:pPr>
      <w:r>
        <w:rPr>
          <w:rFonts w:hint="eastAsia"/>
          <w:highlight w:val="none"/>
        </w:rPr>
        <w:t>由于责任方原因造成安健环事故、</w:t>
      </w:r>
      <w:r>
        <w:rPr>
          <w:highlight w:val="none"/>
        </w:rPr>
        <w:t>事件</w:t>
      </w:r>
      <w:r>
        <w:rPr>
          <w:rFonts w:hint="eastAsia"/>
          <w:highlight w:val="none"/>
        </w:rPr>
        <w:t>发生，引发对方或第三方的人身伤害、设备损坏或财产损失，由责任方承担相应安健环责任、</w:t>
      </w:r>
      <w:r>
        <w:rPr>
          <w:highlight w:val="none"/>
        </w:rPr>
        <w:t>法律责任和全部经济损</w:t>
      </w:r>
      <w:r>
        <w:rPr>
          <w:rFonts w:hint="eastAsia"/>
          <w:highlight w:val="none"/>
        </w:rPr>
        <w:t>失（包括</w:t>
      </w:r>
      <w:r>
        <w:rPr>
          <w:highlight w:val="none"/>
        </w:rPr>
        <w:t>但不限于</w:t>
      </w:r>
      <w:r>
        <w:rPr>
          <w:rFonts w:hint="eastAsia"/>
          <w:highlight w:val="none"/>
        </w:rPr>
        <w:t>有关赔偿或补偿）。双方均有责任的，甲乙双方</w:t>
      </w:r>
      <w:r>
        <w:rPr>
          <w:highlight w:val="none"/>
        </w:rPr>
        <w:t>按</w:t>
      </w:r>
      <w:r>
        <w:rPr>
          <w:rFonts w:hint="eastAsia"/>
          <w:highlight w:val="none"/>
        </w:rPr>
        <w:t>认定的责任各自承担。</w:t>
      </w:r>
    </w:p>
    <w:p w14:paraId="7D709AFF">
      <w:pPr>
        <w:pStyle w:val="11"/>
        <w:numPr>
          <w:ilvl w:val="0"/>
          <w:numId w:val="71"/>
        </w:numPr>
        <w:snapToGrid w:val="0"/>
        <w:spacing w:line="360" w:lineRule="auto"/>
        <w:ind w:left="0" w:leftChars="0" w:right="290" w:firstLine="567"/>
        <w:rPr>
          <w:highlight w:val="none"/>
        </w:rPr>
      </w:pPr>
      <w:r>
        <w:rPr>
          <w:rFonts w:hint="eastAsia"/>
          <w:highlight w:val="none"/>
        </w:rPr>
        <w:t>甲乙双方向对方提供的有关文件、资料应准确有效，符合安健环法规要求，否则接受方有权拒绝；对于因虚假或不实文件、资料引起的安健环责任和不良后果，由提供方独自承担全部责任并负责有关赔偿或补偿。</w:t>
      </w:r>
    </w:p>
    <w:p w14:paraId="4B0D705E">
      <w:pPr>
        <w:pStyle w:val="11"/>
        <w:numPr>
          <w:ilvl w:val="0"/>
          <w:numId w:val="71"/>
        </w:numPr>
        <w:snapToGrid w:val="0"/>
        <w:spacing w:line="360" w:lineRule="auto"/>
        <w:ind w:left="0" w:leftChars="0" w:right="290" w:firstLine="567"/>
        <w:rPr>
          <w:highlight w:val="none"/>
        </w:rPr>
      </w:pPr>
      <w:r>
        <w:rPr>
          <w:rFonts w:hint="eastAsia"/>
          <w:highlight w:val="none"/>
        </w:rPr>
        <w:t xml:space="preserve">乙方因工程需要使用甲方设备、设施、工器具和安全防护用品的，必须经甲方批准，并由乙方书面验收合格后方能使用。验收不合格，不得使用。未经甲方批准擅自使用或因乙方使用不当等情况造成设备设施损坏或引发事故的，由乙方独自承担全部责任并负责有关赔偿或补偿。 </w:t>
      </w:r>
    </w:p>
    <w:p w14:paraId="25980CE1">
      <w:pPr>
        <w:pStyle w:val="11"/>
        <w:numPr>
          <w:ilvl w:val="0"/>
          <w:numId w:val="71"/>
        </w:numPr>
        <w:snapToGrid w:val="0"/>
        <w:spacing w:line="360" w:lineRule="auto"/>
        <w:ind w:left="0" w:leftChars="0" w:right="290" w:firstLine="567"/>
        <w:rPr>
          <w:rFonts w:hint="eastAsia"/>
          <w:highlight w:val="none"/>
        </w:rPr>
      </w:pPr>
      <w:r>
        <w:rPr>
          <w:rFonts w:hint="eastAsia"/>
          <w:highlight w:val="none"/>
        </w:rPr>
        <w:t>乙方发生下列情况之一，由乙方独自负全部责任、承担全部经济损失赔偿、补偿和相关罚款、</w:t>
      </w:r>
      <w:r>
        <w:rPr>
          <w:highlight w:val="none"/>
        </w:rPr>
        <w:t>违约</w:t>
      </w:r>
      <w:r>
        <w:rPr>
          <w:rFonts w:hint="eastAsia"/>
          <w:highlight w:val="none"/>
        </w:rPr>
        <w:t>金，</w:t>
      </w:r>
      <w:r>
        <w:rPr>
          <w:highlight w:val="none"/>
        </w:rPr>
        <w:t>并</w:t>
      </w:r>
      <w:r>
        <w:rPr>
          <w:rFonts w:hint="eastAsia"/>
          <w:highlight w:val="none"/>
        </w:rPr>
        <w:t>由乙方完成（包括但不限于</w:t>
      </w:r>
      <w:r>
        <w:rPr>
          <w:highlight w:val="none"/>
        </w:rPr>
        <w:t>受理</w:t>
      </w:r>
      <w:r>
        <w:rPr>
          <w:rFonts w:hint="eastAsia"/>
          <w:highlight w:val="none"/>
        </w:rPr>
        <w:t>、</w:t>
      </w:r>
      <w:r>
        <w:rPr>
          <w:highlight w:val="none"/>
        </w:rPr>
        <w:t>调查核实</w:t>
      </w:r>
      <w:r>
        <w:rPr>
          <w:rFonts w:hint="eastAsia"/>
          <w:highlight w:val="none"/>
        </w:rPr>
        <w:t>、</w:t>
      </w:r>
      <w:r>
        <w:rPr>
          <w:highlight w:val="none"/>
        </w:rPr>
        <w:t>提</w:t>
      </w:r>
      <w:r>
        <w:rPr>
          <w:rFonts w:hint="eastAsia"/>
          <w:highlight w:val="none"/>
        </w:rPr>
        <w:t>交报告、配合认定、安抚谈判、承担责任、污染复原、支付赔偿等）等</w:t>
      </w:r>
      <w:r>
        <w:rPr>
          <w:highlight w:val="none"/>
        </w:rPr>
        <w:t>善后事宜</w:t>
      </w:r>
      <w:r>
        <w:rPr>
          <w:rFonts w:hint="eastAsia"/>
          <w:highlight w:val="none"/>
        </w:rPr>
        <w:t>。</w:t>
      </w:r>
      <w:r>
        <w:rPr>
          <w:highlight w:val="none"/>
        </w:rPr>
        <w:t>造成</w:t>
      </w:r>
      <w:r>
        <w:rPr>
          <w:rFonts w:hint="eastAsia"/>
          <w:highlight w:val="none"/>
        </w:rPr>
        <w:t>甲方</w:t>
      </w:r>
      <w:r>
        <w:rPr>
          <w:highlight w:val="none"/>
        </w:rPr>
        <w:t>或第三方损失的也由</w:t>
      </w:r>
      <w:r>
        <w:rPr>
          <w:rFonts w:hint="eastAsia"/>
          <w:highlight w:val="none"/>
        </w:rPr>
        <w:t>乙方</w:t>
      </w:r>
      <w:r>
        <w:rPr>
          <w:highlight w:val="none"/>
        </w:rPr>
        <w:t>全部承担</w:t>
      </w:r>
      <w:r>
        <w:rPr>
          <w:rFonts w:hint="eastAsia"/>
          <w:highlight w:val="none"/>
        </w:rPr>
        <w:t>：</w:t>
      </w:r>
    </w:p>
    <w:p w14:paraId="7EB6DE21">
      <w:pPr>
        <w:pStyle w:val="11"/>
        <w:numPr>
          <w:ilvl w:val="0"/>
          <w:numId w:val="72"/>
        </w:numPr>
        <w:snapToGrid w:val="0"/>
        <w:spacing w:line="360" w:lineRule="auto"/>
        <w:ind w:leftChars="0" w:right="290"/>
        <w:rPr>
          <w:highlight w:val="none"/>
        </w:rPr>
      </w:pPr>
      <w:r>
        <w:rPr>
          <w:rFonts w:hint="eastAsia"/>
          <w:highlight w:val="none"/>
        </w:rPr>
        <w:t>擅自更换投标文件列明的项目经理、监理总监、技术负责人、安全负责人、安全监理等关键岗位人员或关键岗位人员不到岗、履责不到位引起、导致、造成事故。</w:t>
      </w:r>
    </w:p>
    <w:p w14:paraId="72E731F5">
      <w:pPr>
        <w:pStyle w:val="11"/>
        <w:numPr>
          <w:ilvl w:val="0"/>
          <w:numId w:val="72"/>
        </w:numPr>
        <w:snapToGrid w:val="0"/>
        <w:spacing w:line="360" w:lineRule="auto"/>
        <w:ind w:left="0" w:leftChars="0" w:right="290" w:firstLine="567"/>
        <w:rPr>
          <w:rFonts w:hint="eastAsia"/>
          <w:highlight w:val="none"/>
        </w:rPr>
      </w:pPr>
      <w:r>
        <w:rPr>
          <w:rFonts w:hint="eastAsia"/>
          <w:highlight w:val="none"/>
        </w:rPr>
        <w:t>不按施工方案施工、不执行安全技术措施、安健环</w:t>
      </w:r>
      <w:r>
        <w:rPr>
          <w:highlight w:val="none"/>
        </w:rPr>
        <w:t>监管不到位、安健环投入不足、</w:t>
      </w:r>
      <w:r>
        <w:rPr>
          <w:rFonts w:hint="eastAsia"/>
          <w:highlight w:val="none"/>
        </w:rPr>
        <w:t>人员</w:t>
      </w:r>
      <w:r>
        <w:rPr>
          <w:highlight w:val="none"/>
        </w:rPr>
        <w:t>安健环教育不到位</w:t>
      </w:r>
      <w:r>
        <w:rPr>
          <w:rFonts w:hint="eastAsia"/>
          <w:highlight w:val="none"/>
        </w:rPr>
        <w:t>、</w:t>
      </w:r>
      <w:r>
        <w:rPr>
          <w:highlight w:val="none"/>
        </w:rPr>
        <w:t>隐患整改不及时</w:t>
      </w:r>
      <w:r>
        <w:rPr>
          <w:rFonts w:hint="eastAsia"/>
          <w:highlight w:val="none"/>
        </w:rPr>
        <w:t>或</w:t>
      </w:r>
      <w:r>
        <w:rPr>
          <w:highlight w:val="none"/>
        </w:rPr>
        <w:t>不彻底</w:t>
      </w:r>
      <w:r>
        <w:rPr>
          <w:rFonts w:hint="eastAsia"/>
          <w:highlight w:val="none"/>
        </w:rPr>
        <w:t>、</w:t>
      </w:r>
      <w:r>
        <w:rPr>
          <w:highlight w:val="none"/>
        </w:rPr>
        <w:t>施工</w:t>
      </w:r>
      <w:r>
        <w:rPr>
          <w:rFonts w:hint="eastAsia"/>
          <w:highlight w:val="none"/>
        </w:rPr>
        <w:t>用机具</w:t>
      </w:r>
      <w:r>
        <w:rPr>
          <w:highlight w:val="none"/>
        </w:rPr>
        <w:t>及安全防护用品不满足施工需求等情况</w:t>
      </w:r>
      <w:r>
        <w:rPr>
          <w:rFonts w:hint="eastAsia"/>
          <w:highlight w:val="none"/>
        </w:rPr>
        <w:t>所引起、导致、造成事故。</w:t>
      </w:r>
    </w:p>
    <w:p w14:paraId="5EE06BEA">
      <w:pPr>
        <w:pStyle w:val="11"/>
        <w:numPr>
          <w:ilvl w:val="0"/>
          <w:numId w:val="72"/>
        </w:numPr>
        <w:snapToGrid w:val="0"/>
        <w:spacing w:line="360" w:lineRule="auto"/>
        <w:ind w:left="0" w:leftChars="0" w:right="290" w:firstLine="567"/>
        <w:rPr>
          <w:rFonts w:hint="eastAsia"/>
          <w:highlight w:val="none"/>
        </w:rPr>
      </w:pPr>
      <w:r>
        <w:rPr>
          <w:rFonts w:hint="eastAsia"/>
          <w:highlight w:val="none"/>
        </w:rPr>
        <w:t>违法、违规、违章指挥、违章作业、违反劳动纪律、违反本协议、</w:t>
      </w:r>
      <w:r>
        <w:rPr>
          <w:highlight w:val="none"/>
        </w:rPr>
        <w:t>违反</w:t>
      </w:r>
      <w:r>
        <w:rPr>
          <w:rFonts w:hint="eastAsia"/>
          <w:highlight w:val="none"/>
        </w:rPr>
        <w:t>甲方安健环</w:t>
      </w:r>
      <w:r>
        <w:rPr>
          <w:highlight w:val="none"/>
        </w:rPr>
        <w:t>规定</w:t>
      </w:r>
      <w:r>
        <w:rPr>
          <w:rFonts w:hint="eastAsia"/>
          <w:highlight w:val="none"/>
        </w:rPr>
        <w:t>等所引起、导致、造成事故。</w:t>
      </w:r>
    </w:p>
    <w:p w14:paraId="2F4A04BC">
      <w:pPr>
        <w:pStyle w:val="11"/>
        <w:numPr>
          <w:ilvl w:val="0"/>
          <w:numId w:val="72"/>
        </w:numPr>
        <w:snapToGrid w:val="0"/>
        <w:spacing w:line="360" w:lineRule="auto"/>
        <w:ind w:left="0" w:leftChars="0" w:right="290" w:firstLine="567"/>
        <w:rPr>
          <w:rFonts w:hint="eastAsia"/>
          <w:highlight w:val="none"/>
        </w:rPr>
      </w:pPr>
      <w:r>
        <w:rPr>
          <w:rFonts w:hint="eastAsia"/>
          <w:highlight w:val="none"/>
        </w:rPr>
        <w:t>使用有隐患的或未经许可擅自拆除安全防护设施所引起、导致、造成事故。</w:t>
      </w:r>
    </w:p>
    <w:p w14:paraId="423CF8C6">
      <w:pPr>
        <w:pStyle w:val="11"/>
        <w:numPr>
          <w:ilvl w:val="0"/>
          <w:numId w:val="72"/>
        </w:numPr>
        <w:snapToGrid w:val="0"/>
        <w:spacing w:line="360" w:lineRule="auto"/>
        <w:ind w:left="0" w:leftChars="0" w:right="290" w:firstLine="567"/>
        <w:rPr>
          <w:rFonts w:hint="eastAsia"/>
          <w:highlight w:val="none"/>
        </w:rPr>
      </w:pPr>
      <w:r>
        <w:rPr>
          <w:rFonts w:hint="eastAsia"/>
          <w:highlight w:val="none"/>
        </w:rPr>
        <w:t xml:space="preserve"> 擅自损坏、毁坏安全防护设施所引起、导致、造成事故。</w:t>
      </w:r>
    </w:p>
    <w:p w14:paraId="3CF237C7">
      <w:pPr>
        <w:pStyle w:val="11"/>
        <w:numPr>
          <w:ilvl w:val="0"/>
          <w:numId w:val="72"/>
        </w:numPr>
        <w:snapToGrid w:val="0"/>
        <w:spacing w:line="360" w:lineRule="auto"/>
        <w:ind w:left="0" w:leftChars="0" w:right="290" w:firstLine="567"/>
        <w:rPr>
          <w:highlight w:val="none"/>
        </w:rPr>
      </w:pPr>
      <w:r>
        <w:rPr>
          <w:rFonts w:hint="eastAsia"/>
          <w:highlight w:val="none"/>
        </w:rPr>
        <w:t>由于乙方故意、过失、渎职、疏于管理等原因或责任所引起、导致、造成事故。</w:t>
      </w:r>
    </w:p>
    <w:p w14:paraId="6588457E">
      <w:pPr>
        <w:pStyle w:val="11"/>
        <w:numPr>
          <w:ilvl w:val="0"/>
          <w:numId w:val="72"/>
        </w:numPr>
        <w:snapToGrid w:val="0"/>
        <w:spacing w:line="360" w:lineRule="auto"/>
        <w:ind w:left="0" w:leftChars="0" w:right="290" w:firstLine="567"/>
        <w:rPr>
          <w:rFonts w:hint="eastAsia"/>
          <w:highlight w:val="none"/>
        </w:rPr>
      </w:pPr>
      <w:r>
        <w:rPr>
          <w:rFonts w:hint="eastAsia"/>
          <w:highlight w:val="none"/>
        </w:rPr>
        <w:t>乙方与其派往现场等人员产生劳动争议和任何纠纷。</w:t>
      </w:r>
    </w:p>
    <w:p w14:paraId="34BFE43F">
      <w:pPr>
        <w:pStyle w:val="11"/>
        <w:numPr>
          <w:ilvl w:val="0"/>
          <w:numId w:val="72"/>
        </w:numPr>
        <w:snapToGrid w:val="0"/>
        <w:spacing w:line="360" w:lineRule="auto"/>
        <w:ind w:left="0" w:leftChars="0" w:right="290" w:firstLine="567"/>
        <w:rPr>
          <w:rFonts w:hint="eastAsia"/>
          <w:highlight w:val="none"/>
        </w:rPr>
      </w:pPr>
      <w:r>
        <w:rPr>
          <w:rFonts w:hint="eastAsia"/>
          <w:highlight w:val="none"/>
        </w:rPr>
        <w:t>其他因乙方未有效履行有关安健环管理职责和落实有关安健环措施，造成生命财产损失、发生安全生产事故</w:t>
      </w:r>
      <w:r>
        <w:rPr>
          <w:highlight w:val="none"/>
        </w:rPr>
        <w:t>事件、</w:t>
      </w:r>
      <w:r>
        <w:rPr>
          <w:rFonts w:hint="eastAsia"/>
          <w:highlight w:val="none"/>
        </w:rPr>
        <w:t>发生</w:t>
      </w:r>
      <w:r>
        <w:rPr>
          <w:highlight w:val="none"/>
        </w:rPr>
        <w:t>职业危害事件</w:t>
      </w:r>
      <w:r>
        <w:rPr>
          <w:rFonts w:hint="eastAsia"/>
          <w:highlight w:val="none"/>
        </w:rPr>
        <w:t>或环境污染事故事件。</w:t>
      </w:r>
    </w:p>
    <w:p w14:paraId="08827F4F">
      <w:pPr>
        <w:pStyle w:val="11"/>
        <w:numPr>
          <w:ilvl w:val="0"/>
          <w:numId w:val="71"/>
        </w:numPr>
        <w:snapToGrid w:val="0"/>
        <w:spacing w:line="360" w:lineRule="auto"/>
        <w:ind w:left="0" w:leftChars="0" w:right="290" w:firstLine="567"/>
        <w:rPr>
          <w:highlight w:val="none"/>
        </w:rPr>
      </w:pPr>
      <w:r>
        <w:rPr>
          <w:rFonts w:hint="eastAsia"/>
          <w:highlight w:val="none"/>
        </w:rPr>
        <w:t>发生以下乙方</w:t>
      </w:r>
      <w:r>
        <w:rPr>
          <w:highlight w:val="none"/>
        </w:rPr>
        <w:t>责任</w:t>
      </w:r>
      <w:r>
        <w:rPr>
          <w:rFonts w:hint="eastAsia"/>
          <w:highlight w:val="none"/>
        </w:rPr>
        <w:t>安健环</w:t>
      </w:r>
      <w:r>
        <w:rPr>
          <w:highlight w:val="none"/>
        </w:rPr>
        <w:t>事故事件</w:t>
      </w:r>
      <w:r>
        <w:rPr>
          <w:rFonts w:hint="eastAsia"/>
          <w:highlight w:val="none"/>
        </w:rPr>
        <w:t>的</w:t>
      </w:r>
      <w:r>
        <w:rPr>
          <w:highlight w:val="none"/>
        </w:rPr>
        <w:t>，</w:t>
      </w:r>
      <w:r>
        <w:rPr>
          <w:rFonts w:hint="eastAsia"/>
          <w:highlight w:val="none"/>
        </w:rPr>
        <w:t>甲方有权依约依规</w:t>
      </w:r>
      <w:r>
        <w:rPr>
          <w:highlight w:val="none"/>
        </w:rPr>
        <w:t>对</w:t>
      </w:r>
      <w:r>
        <w:rPr>
          <w:rFonts w:hint="eastAsia"/>
          <w:highlight w:val="none"/>
        </w:rPr>
        <w:t>乙</w:t>
      </w:r>
      <w:r>
        <w:rPr>
          <w:highlight w:val="none"/>
        </w:rPr>
        <w:t>方进行</w:t>
      </w:r>
      <w:r>
        <w:rPr>
          <w:rFonts w:hint="eastAsia"/>
          <w:highlight w:val="none"/>
        </w:rPr>
        <w:t>违约金扣除，违约金</w:t>
      </w:r>
      <w:r>
        <w:rPr>
          <w:highlight w:val="none"/>
        </w:rPr>
        <w:t>额从</w:t>
      </w:r>
      <w:r>
        <w:rPr>
          <w:rFonts w:hint="eastAsia"/>
          <w:highlight w:val="none"/>
        </w:rPr>
        <w:t>甲方应支付乙方的合同费用、履约保证金或履约保函中直接给予扣除（此并不构成甲方违约）</w:t>
      </w:r>
      <w:r>
        <w:rPr>
          <w:highlight w:val="none"/>
        </w:rPr>
        <w:t>。</w:t>
      </w:r>
      <w:r>
        <w:rPr>
          <w:rFonts w:hint="eastAsia"/>
          <w:highlight w:val="none"/>
        </w:rPr>
        <w:t>违约金扣除标准</w:t>
      </w:r>
      <w:r>
        <w:rPr>
          <w:highlight w:val="none"/>
        </w:rPr>
        <w:t>如下</w:t>
      </w:r>
      <w:r>
        <w:rPr>
          <w:rFonts w:hint="eastAsia"/>
          <w:highlight w:val="none"/>
        </w:rPr>
        <w:t>：</w:t>
      </w:r>
    </w:p>
    <w:p w14:paraId="6C1072C2">
      <w:pPr>
        <w:pStyle w:val="11"/>
        <w:numPr>
          <w:ilvl w:val="0"/>
          <w:numId w:val="73"/>
        </w:numPr>
        <w:snapToGrid w:val="0"/>
        <w:spacing w:line="360" w:lineRule="auto"/>
        <w:ind w:leftChars="0" w:right="290"/>
        <w:rPr>
          <w:color w:val="auto"/>
          <w:highlight w:val="none"/>
          <w:u w:val="single"/>
        </w:rPr>
      </w:pPr>
      <w:r>
        <w:rPr>
          <w:rFonts w:hint="eastAsia"/>
          <w:color w:val="auto"/>
          <w:highlight w:val="none"/>
          <w:u w:val="single"/>
        </w:rPr>
        <w:t>发生一般及以上</w:t>
      </w:r>
      <w:r>
        <w:rPr>
          <w:color w:val="auto"/>
          <w:highlight w:val="none"/>
          <w:u w:val="single"/>
        </w:rPr>
        <w:t>安全生产事故、火灾事故、交通事故、环境污染事故，</w:t>
      </w:r>
      <w:r>
        <w:rPr>
          <w:rFonts w:hint="eastAsia"/>
          <w:color w:val="auto"/>
          <w:highlight w:val="none"/>
          <w:u w:val="single"/>
        </w:rPr>
        <w:t>导致人员轻伤的每人次</w:t>
      </w:r>
      <w:r>
        <w:rPr>
          <w:rFonts w:hint="eastAsia"/>
          <w:color w:val="auto"/>
          <w:highlight w:val="none"/>
          <w:u w:val="single"/>
          <w:lang w:val="en-US" w:eastAsia="zh-CN"/>
        </w:rPr>
        <w:t>30</w:t>
      </w:r>
      <w:r>
        <w:rPr>
          <w:color w:val="auto"/>
          <w:highlight w:val="none"/>
          <w:u w:val="single"/>
        </w:rPr>
        <w:t>000</w:t>
      </w:r>
      <w:r>
        <w:rPr>
          <w:rFonts w:hint="eastAsia"/>
          <w:color w:val="auto"/>
          <w:highlight w:val="none"/>
          <w:u w:val="single"/>
        </w:rPr>
        <w:t>元、人员重伤的每人次</w:t>
      </w:r>
      <w:r>
        <w:rPr>
          <w:color w:val="auto"/>
          <w:highlight w:val="none"/>
          <w:u w:val="single"/>
        </w:rPr>
        <w:t>50000</w:t>
      </w:r>
      <w:r>
        <w:rPr>
          <w:rFonts w:hint="eastAsia"/>
          <w:color w:val="auto"/>
          <w:highlight w:val="none"/>
          <w:u w:val="single"/>
        </w:rPr>
        <w:t>元、人身死亡的每人次</w:t>
      </w:r>
      <w:r>
        <w:rPr>
          <w:color w:val="auto"/>
          <w:highlight w:val="none"/>
          <w:u w:val="single"/>
        </w:rPr>
        <w:t>100000</w:t>
      </w:r>
      <w:r>
        <w:rPr>
          <w:rFonts w:hint="eastAsia"/>
          <w:color w:val="auto"/>
          <w:highlight w:val="none"/>
          <w:u w:val="single"/>
        </w:rPr>
        <w:t>元；造成经济损失的，并罚直接经济损失金额的百分之十，并由乙方承担全部经济损失。</w:t>
      </w:r>
    </w:p>
    <w:p w14:paraId="7B797BFB">
      <w:pPr>
        <w:pStyle w:val="11"/>
        <w:numPr>
          <w:ilvl w:val="0"/>
          <w:numId w:val="73"/>
        </w:numPr>
        <w:snapToGrid w:val="0"/>
        <w:spacing w:line="360" w:lineRule="auto"/>
        <w:ind w:left="0" w:leftChars="0" w:right="290" w:firstLine="567"/>
        <w:rPr>
          <w:color w:val="auto"/>
          <w:highlight w:val="none"/>
          <w:u w:val="single"/>
        </w:rPr>
      </w:pPr>
      <w:r>
        <w:rPr>
          <w:rFonts w:hint="eastAsia"/>
          <w:color w:val="auto"/>
          <w:highlight w:val="none"/>
          <w:u w:val="single"/>
        </w:rPr>
        <w:t>发生</w:t>
      </w:r>
      <w:r>
        <w:rPr>
          <w:color w:val="auto"/>
          <w:highlight w:val="none"/>
          <w:u w:val="single"/>
        </w:rPr>
        <w:t>职业病危害事故</w:t>
      </w:r>
      <w:r>
        <w:rPr>
          <w:rFonts w:hint="eastAsia"/>
          <w:color w:val="auto"/>
          <w:highlight w:val="none"/>
          <w:u w:val="single"/>
        </w:rPr>
        <w:t>、事件</w:t>
      </w:r>
      <w:r>
        <w:rPr>
          <w:color w:val="auto"/>
          <w:highlight w:val="none"/>
          <w:u w:val="single"/>
        </w:rPr>
        <w:t>，</w:t>
      </w:r>
      <w:r>
        <w:rPr>
          <w:rFonts w:hint="eastAsia"/>
          <w:color w:val="auto"/>
          <w:highlight w:val="none"/>
          <w:u w:val="single"/>
        </w:rPr>
        <w:t>每人次</w:t>
      </w:r>
      <w:r>
        <w:rPr>
          <w:rFonts w:hint="eastAsia"/>
          <w:color w:val="auto"/>
          <w:highlight w:val="none"/>
          <w:u w:val="single"/>
          <w:lang w:val="en-US" w:eastAsia="zh-CN"/>
        </w:rPr>
        <w:t>2</w:t>
      </w:r>
      <w:r>
        <w:rPr>
          <w:color w:val="auto"/>
          <w:highlight w:val="none"/>
          <w:u w:val="single"/>
        </w:rPr>
        <w:t>0000元；</w:t>
      </w:r>
    </w:p>
    <w:p w14:paraId="7549C7DC">
      <w:pPr>
        <w:pStyle w:val="11"/>
        <w:numPr>
          <w:ilvl w:val="0"/>
          <w:numId w:val="73"/>
        </w:numPr>
        <w:snapToGrid w:val="0"/>
        <w:spacing w:line="360" w:lineRule="auto"/>
        <w:ind w:left="0" w:leftChars="0" w:right="290" w:firstLine="567"/>
        <w:rPr>
          <w:color w:val="auto"/>
          <w:highlight w:val="none"/>
          <w:u w:val="single"/>
        </w:rPr>
      </w:pPr>
      <w:r>
        <w:rPr>
          <w:color w:val="auto"/>
          <w:highlight w:val="none"/>
          <w:u w:val="single"/>
        </w:rPr>
        <w:t>造成发包方全厂停电事故，</w:t>
      </w:r>
      <w:r>
        <w:rPr>
          <w:rFonts w:hint="eastAsia"/>
          <w:color w:val="auto"/>
          <w:highlight w:val="none"/>
          <w:u w:val="single"/>
        </w:rPr>
        <w:t>每起</w:t>
      </w:r>
      <w:r>
        <w:rPr>
          <w:rFonts w:hint="eastAsia"/>
          <w:color w:val="auto"/>
          <w:highlight w:val="none"/>
          <w:u w:val="single"/>
          <w:lang w:val="en-US" w:eastAsia="zh-CN"/>
        </w:rPr>
        <w:t>3</w:t>
      </w:r>
      <w:r>
        <w:rPr>
          <w:color w:val="auto"/>
          <w:highlight w:val="none"/>
          <w:u w:val="single"/>
        </w:rPr>
        <w:t>0000</w:t>
      </w:r>
      <w:r>
        <w:rPr>
          <w:rFonts w:hint="eastAsia"/>
          <w:color w:val="auto"/>
          <w:highlight w:val="none"/>
          <w:u w:val="single"/>
        </w:rPr>
        <w:t>元</w:t>
      </w:r>
      <w:r>
        <w:rPr>
          <w:color w:val="auto"/>
          <w:highlight w:val="none"/>
          <w:u w:val="single"/>
        </w:rPr>
        <w:t>；</w:t>
      </w:r>
    </w:p>
    <w:p w14:paraId="3264562E">
      <w:pPr>
        <w:pStyle w:val="11"/>
        <w:numPr>
          <w:ilvl w:val="0"/>
          <w:numId w:val="73"/>
        </w:numPr>
        <w:snapToGrid w:val="0"/>
        <w:spacing w:line="360" w:lineRule="auto"/>
        <w:ind w:left="0" w:leftChars="0" w:right="290" w:firstLine="567"/>
        <w:rPr>
          <w:color w:val="auto"/>
          <w:highlight w:val="none"/>
          <w:u w:val="single"/>
        </w:rPr>
      </w:pPr>
      <w:r>
        <w:rPr>
          <w:color w:val="auto"/>
          <w:highlight w:val="none"/>
          <w:u w:val="single"/>
        </w:rPr>
        <w:t>造成发包方</w:t>
      </w:r>
      <w:r>
        <w:rPr>
          <w:rFonts w:hint="eastAsia"/>
          <w:color w:val="auto"/>
          <w:highlight w:val="none"/>
          <w:u w:val="single"/>
        </w:rPr>
        <w:t>内部统计事故</w:t>
      </w:r>
      <w:r>
        <w:rPr>
          <w:color w:val="auto"/>
          <w:highlight w:val="none"/>
          <w:u w:val="single"/>
        </w:rPr>
        <w:t>，</w:t>
      </w:r>
      <w:r>
        <w:rPr>
          <w:rFonts w:hint="eastAsia"/>
          <w:color w:val="auto"/>
          <w:highlight w:val="none"/>
          <w:u w:val="single"/>
        </w:rPr>
        <w:t>每起</w:t>
      </w:r>
      <w:r>
        <w:rPr>
          <w:rFonts w:hint="eastAsia"/>
          <w:color w:val="auto"/>
          <w:highlight w:val="none"/>
          <w:u w:val="single"/>
          <w:lang w:val="en-US" w:eastAsia="zh-CN"/>
        </w:rPr>
        <w:t>30</w:t>
      </w:r>
      <w:r>
        <w:rPr>
          <w:color w:val="auto"/>
          <w:highlight w:val="none"/>
          <w:u w:val="single"/>
        </w:rPr>
        <w:t>000元</w:t>
      </w:r>
      <w:r>
        <w:rPr>
          <w:rFonts w:hint="eastAsia"/>
          <w:color w:val="auto"/>
          <w:highlight w:val="none"/>
          <w:u w:val="single"/>
        </w:rPr>
        <w:t>；</w:t>
      </w:r>
    </w:p>
    <w:p w14:paraId="7CA75C6B">
      <w:pPr>
        <w:pStyle w:val="11"/>
        <w:numPr>
          <w:ilvl w:val="0"/>
          <w:numId w:val="73"/>
        </w:numPr>
        <w:snapToGrid w:val="0"/>
        <w:spacing w:line="360" w:lineRule="auto"/>
        <w:ind w:left="0" w:leftChars="0" w:right="290" w:firstLine="567"/>
        <w:rPr>
          <w:color w:val="auto"/>
          <w:highlight w:val="none"/>
          <w:u w:val="single"/>
        </w:rPr>
      </w:pPr>
      <w:r>
        <w:rPr>
          <w:color w:val="auto"/>
          <w:highlight w:val="none"/>
          <w:u w:val="single"/>
        </w:rPr>
        <w:t>造成发包方一类障碍，</w:t>
      </w:r>
      <w:r>
        <w:rPr>
          <w:rFonts w:hint="eastAsia"/>
          <w:color w:val="auto"/>
          <w:highlight w:val="none"/>
          <w:u w:val="single"/>
        </w:rPr>
        <w:t>每起</w:t>
      </w:r>
      <w:r>
        <w:rPr>
          <w:rFonts w:hint="eastAsia"/>
          <w:color w:val="auto"/>
          <w:highlight w:val="none"/>
          <w:u w:val="single"/>
          <w:lang w:val="en-US" w:eastAsia="zh-CN"/>
        </w:rPr>
        <w:t>25</w:t>
      </w:r>
      <w:r>
        <w:rPr>
          <w:color w:val="auto"/>
          <w:highlight w:val="none"/>
          <w:u w:val="single"/>
        </w:rPr>
        <w:t>000元；</w:t>
      </w:r>
    </w:p>
    <w:p w14:paraId="5474EE2C">
      <w:pPr>
        <w:pStyle w:val="11"/>
        <w:numPr>
          <w:ilvl w:val="0"/>
          <w:numId w:val="73"/>
        </w:numPr>
        <w:snapToGrid w:val="0"/>
        <w:spacing w:line="360" w:lineRule="auto"/>
        <w:ind w:left="0" w:leftChars="0" w:right="290" w:firstLine="567"/>
        <w:rPr>
          <w:rFonts w:hint="eastAsia"/>
          <w:color w:val="auto"/>
          <w:highlight w:val="none"/>
          <w:u w:val="single"/>
        </w:rPr>
      </w:pPr>
      <w:r>
        <w:rPr>
          <w:color w:val="auto"/>
          <w:highlight w:val="none"/>
          <w:u w:val="single"/>
        </w:rPr>
        <w:t>造成发包方二类障碍，</w:t>
      </w:r>
      <w:r>
        <w:rPr>
          <w:rFonts w:hint="eastAsia"/>
          <w:color w:val="auto"/>
          <w:highlight w:val="none"/>
          <w:u w:val="single"/>
        </w:rPr>
        <w:t>每起</w:t>
      </w:r>
      <w:r>
        <w:rPr>
          <w:rFonts w:hint="eastAsia"/>
          <w:color w:val="auto"/>
          <w:highlight w:val="none"/>
          <w:u w:val="single"/>
          <w:lang w:val="en-US" w:eastAsia="zh-CN"/>
        </w:rPr>
        <w:t>10</w:t>
      </w:r>
      <w:r>
        <w:rPr>
          <w:color w:val="auto"/>
          <w:highlight w:val="none"/>
          <w:u w:val="single"/>
        </w:rPr>
        <w:t>000元；</w:t>
      </w:r>
    </w:p>
    <w:p w14:paraId="2ED21DC4">
      <w:pPr>
        <w:pStyle w:val="11"/>
        <w:numPr>
          <w:ilvl w:val="0"/>
          <w:numId w:val="73"/>
        </w:numPr>
        <w:snapToGrid w:val="0"/>
        <w:spacing w:line="360" w:lineRule="auto"/>
        <w:ind w:left="0" w:leftChars="0" w:right="290" w:firstLine="567"/>
        <w:rPr>
          <w:rFonts w:hint="eastAsia"/>
          <w:highlight w:val="none"/>
        </w:rPr>
      </w:pPr>
      <w:r>
        <w:rPr>
          <w:rFonts w:hint="eastAsia"/>
          <w:highlight w:val="none"/>
        </w:rPr>
        <w:t>发生上述安健环事故、事件后，承包方弄虚作假、隐瞒不报、迟报或谎报，一经查出，除按上述规定进行处罚外，另外加罚一倍。</w:t>
      </w:r>
    </w:p>
    <w:p w14:paraId="1E63F426">
      <w:pPr>
        <w:pStyle w:val="11"/>
        <w:numPr>
          <w:ilvl w:val="0"/>
          <w:numId w:val="71"/>
        </w:numPr>
        <w:snapToGrid w:val="0"/>
        <w:spacing w:line="360" w:lineRule="auto"/>
        <w:ind w:left="0" w:leftChars="0" w:right="290" w:firstLine="567"/>
        <w:rPr>
          <w:highlight w:val="none"/>
        </w:rPr>
      </w:pPr>
      <w:r>
        <w:rPr>
          <w:rFonts w:hint="eastAsia"/>
          <w:highlight w:val="none"/>
        </w:rPr>
        <w:t>有关事故定级、</w:t>
      </w:r>
      <w:r>
        <w:rPr>
          <w:highlight w:val="none"/>
        </w:rPr>
        <w:t>职业</w:t>
      </w:r>
      <w:r>
        <w:rPr>
          <w:rFonts w:hint="eastAsia"/>
          <w:highlight w:val="none"/>
        </w:rPr>
        <w:t>病危害认定、</w:t>
      </w:r>
      <w:r>
        <w:rPr>
          <w:highlight w:val="none"/>
        </w:rPr>
        <w:t>经济</w:t>
      </w:r>
      <w:r>
        <w:rPr>
          <w:rFonts w:hint="eastAsia"/>
          <w:highlight w:val="none"/>
        </w:rPr>
        <w:t>损失等，依照国家有关法规或事故调查、专业鉴定结果；乙</w:t>
      </w:r>
      <w:r>
        <w:rPr>
          <w:highlight w:val="none"/>
        </w:rPr>
        <w:t>方</w:t>
      </w:r>
      <w:r>
        <w:rPr>
          <w:rFonts w:hint="eastAsia"/>
          <w:highlight w:val="none"/>
        </w:rPr>
        <w:t>二类障碍、</w:t>
      </w:r>
      <w:r>
        <w:rPr>
          <w:highlight w:val="none"/>
        </w:rPr>
        <w:t>一类障碍</w:t>
      </w:r>
      <w:r>
        <w:rPr>
          <w:rFonts w:hint="eastAsia"/>
          <w:highlight w:val="none"/>
        </w:rPr>
        <w:t>、全厂停电、</w:t>
      </w:r>
      <w:r>
        <w:rPr>
          <w:highlight w:val="none"/>
        </w:rPr>
        <w:t>内部</w:t>
      </w:r>
      <w:r>
        <w:rPr>
          <w:rFonts w:hint="eastAsia"/>
          <w:highlight w:val="none"/>
        </w:rPr>
        <w:t>统计事故的定义依据甲方安健环事故事件调查有关管理制度。</w:t>
      </w:r>
    </w:p>
    <w:p w14:paraId="5C3A583E">
      <w:pPr>
        <w:pStyle w:val="11"/>
        <w:numPr>
          <w:ilvl w:val="0"/>
          <w:numId w:val="71"/>
        </w:numPr>
        <w:snapToGrid w:val="0"/>
        <w:spacing w:line="360" w:lineRule="auto"/>
        <w:ind w:left="0" w:leftChars="0" w:right="290" w:firstLine="567"/>
        <w:rPr>
          <w:highlight w:val="none"/>
        </w:rPr>
      </w:pPr>
      <w:r>
        <w:rPr>
          <w:rFonts w:hint="eastAsia"/>
          <w:highlight w:val="none"/>
        </w:rPr>
        <w:t>由于乙方责任（含</w:t>
      </w:r>
      <w:r>
        <w:rPr>
          <w:highlight w:val="none"/>
        </w:rPr>
        <w:t>其派出人员</w:t>
      </w:r>
      <w:r>
        <w:rPr>
          <w:rFonts w:hint="eastAsia"/>
          <w:highlight w:val="none"/>
        </w:rPr>
        <w:t>）造成的一切人身事故、设备损坏、职业病</w:t>
      </w:r>
      <w:r>
        <w:rPr>
          <w:highlight w:val="none"/>
        </w:rPr>
        <w:t>危害事故、环境污染等安健环</w:t>
      </w:r>
      <w:r>
        <w:rPr>
          <w:rFonts w:hint="eastAsia"/>
          <w:highlight w:val="none"/>
        </w:rPr>
        <w:t>事故事件，均由乙方自行承担全部安健环责任和</w:t>
      </w:r>
      <w:r>
        <w:rPr>
          <w:highlight w:val="none"/>
        </w:rPr>
        <w:t>法律责任</w:t>
      </w:r>
      <w:r>
        <w:rPr>
          <w:rFonts w:hint="eastAsia"/>
          <w:highlight w:val="none"/>
        </w:rPr>
        <w:t>，</w:t>
      </w:r>
      <w:r>
        <w:rPr>
          <w:highlight w:val="none"/>
        </w:rPr>
        <w:t>并负责所有赔偿</w:t>
      </w:r>
      <w:r>
        <w:rPr>
          <w:rFonts w:hint="eastAsia"/>
          <w:highlight w:val="none"/>
        </w:rPr>
        <w:t>、</w:t>
      </w:r>
      <w:r>
        <w:rPr>
          <w:highlight w:val="none"/>
        </w:rPr>
        <w:t>补偿善后处置工作</w:t>
      </w:r>
      <w:r>
        <w:rPr>
          <w:rFonts w:hint="eastAsia"/>
          <w:highlight w:val="none"/>
        </w:rPr>
        <w:t>。如使甲方或</w:t>
      </w:r>
      <w:r>
        <w:rPr>
          <w:highlight w:val="none"/>
        </w:rPr>
        <w:t>第三方</w:t>
      </w:r>
      <w:r>
        <w:rPr>
          <w:rFonts w:hint="eastAsia"/>
          <w:highlight w:val="none"/>
        </w:rPr>
        <w:t>造成损失，乙方负责赔偿或补偿；乙方不及时支付赔偿或补偿金额的，甲方有权从应支付乙方的合同费用、履约保证金或履约保函中直接给予扣除（此并不构成甲方违约）；尚不足赔偿或补偿部分的金额，由乙方于收到甲方催缴通知一个月内另行向甲方和受损第三方一次性付清。</w:t>
      </w:r>
    </w:p>
    <w:p w14:paraId="670D91FA">
      <w:pPr>
        <w:pStyle w:val="11"/>
        <w:numPr>
          <w:ilvl w:val="0"/>
          <w:numId w:val="71"/>
        </w:numPr>
        <w:snapToGrid w:val="0"/>
        <w:spacing w:line="360" w:lineRule="auto"/>
        <w:ind w:left="0" w:leftChars="0" w:right="290" w:firstLine="567"/>
        <w:rPr>
          <w:color w:val="auto"/>
          <w:highlight w:val="none"/>
          <w:u w:val="single"/>
        </w:rPr>
      </w:pPr>
      <w:r>
        <w:rPr>
          <w:rFonts w:hint="eastAsia"/>
          <w:color w:val="auto"/>
          <w:highlight w:val="none"/>
          <w:u w:val="single"/>
        </w:rPr>
        <w:t>为进一步加强对生产、基建现场典型违章隐患的治理，加大对典型隐患、习惯性违章的考核处罚力度，贯彻集团和公司“严惩制度化”的管理要求</w:t>
      </w:r>
      <w:r>
        <w:rPr>
          <w:rFonts w:hint="eastAsia"/>
          <w:color w:val="auto"/>
          <w:highlight w:val="none"/>
          <w:u w:val="single"/>
          <w:lang w:eastAsia="zh-CN"/>
        </w:rPr>
        <w:t>，</w:t>
      </w:r>
      <w:r>
        <w:rPr>
          <w:rFonts w:hint="eastAsia"/>
          <w:color w:val="auto"/>
          <w:highlight w:val="none"/>
          <w:u w:val="single"/>
        </w:rPr>
        <w:t>公司规定凡是与公司及所属单位签订合同的乙方或其</w:t>
      </w:r>
      <w:r>
        <w:rPr>
          <w:color w:val="auto"/>
          <w:highlight w:val="none"/>
          <w:u w:val="single"/>
        </w:rPr>
        <w:t>施工人员有</w:t>
      </w:r>
      <w:r>
        <w:rPr>
          <w:rFonts w:hint="eastAsia"/>
          <w:color w:val="auto"/>
          <w:highlight w:val="none"/>
          <w:u w:val="single"/>
        </w:rPr>
        <w:t>以下</w:t>
      </w:r>
      <w:r>
        <w:rPr>
          <w:color w:val="auto"/>
          <w:highlight w:val="none"/>
          <w:u w:val="single"/>
        </w:rPr>
        <w:t>行为的，</w:t>
      </w:r>
      <w:r>
        <w:rPr>
          <w:rFonts w:hint="eastAsia"/>
          <w:color w:val="auto"/>
          <w:highlight w:val="none"/>
          <w:u w:val="single"/>
          <w:lang w:val="en-US" w:eastAsia="zh-CN"/>
        </w:rPr>
        <w:t>视为乙方违反安全管理行为，</w:t>
      </w:r>
      <w:r>
        <w:rPr>
          <w:color w:val="auto"/>
          <w:highlight w:val="none"/>
          <w:u w:val="single"/>
        </w:rPr>
        <w:t>甲方</w:t>
      </w:r>
      <w:r>
        <w:rPr>
          <w:rFonts w:hint="eastAsia"/>
          <w:color w:val="auto"/>
          <w:highlight w:val="none"/>
          <w:u w:val="single"/>
        </w:rPr>
        <w:t>有权</w:t>
      </w:r>
      <w:r>
        <w:rPr>
          <w:color w:val="auto"/>
          <w:highlight w:val="none"/>
          <w:u w:val="single"/>
        </w:rPr>
        <w:t>对</w:t>
      </w:r>
      <w:r>
        <w:rPr>
          <w:rFonts w:hint="eastAsia"/>
          <w:color w:val="auto"/>
          <w:highlight w:val="none"/>
          <w:u w:val="single"/>
        </w:rPr>
        <w:t>乙方处以每起或每人次5000</w:t>
      </w:r>
      <w:r>
        <w:rPr>
          <w:color w:val="auto"/>
          <w:highlight w:val="none"/>
          <w:u w:val="single"/>
        </w:rPr>
        <w:t>-20000</w:t>
      </w:r>
      <w:r>
        <w:rPr>
          <w:rFonts w:hint="eastAsia"/>
          <w:color w:val="auto"/>
          <w:highlight w:val="none"/>
          <w:u w:val="single"/>
        </w:rPr>
        <w:t>元</w:t>
      </w:r>
      <w:r>
        <w:rPr>
          <w:color w:val="auto"/>
          <w:highlight w:val="none"/>
          <w:u w:val="single"/>
        </w:rPr>
        <w:t>的</w:t>
      </w:r>
      <w:r>
        <w:rPr>
          <w:rFonts w:hint="eastAsia"/>
          <w:color w:val="auto"/>
          <w:highlight w:val="none"/>
          <w:u w:val="single"/>
        </w:rPr>
        <w:t>违约</w:t>
      </w:r>
      <w:r>
        <w:rPr>
          <w:color w:val="auto"/>
          <w:highlight w:val="none"/>
          <w:u w:val="single"/>
        </w:rPr>
        <w:t>经济处罚</w:t>
      </w:r>
      <w:r>
        <w:rPr>
          <w:rFonts w:hint="eastAsia"/>
          <w:color w:val="auto"/>
          <w:highlight w:val="none"/>
          <w:u w:val="single"/>
        </w:rPr>
        <w:t>，</w:t>
      </w:r>
      <w:r>
        <w:rPr>
          <w:color w:val="auto"/>
          <w:highlight w:val="none"/>
          <w:u w:val="single"/>
        </w:rPr>
        <w:t>处罚金额从</w:t>
      </w:r>
      <w:r>
        <w:rPr>
          <w:rFonts w:hint="eastAsia"/>
          <w:color w:val="auto"/>
          <w:highlight w:val="none"/>
          <w:u w:val="single"/>
        </w:rPr>
        <w:t>甲方应支付乙方的当期合同费用、履约保证金或履约保函中直接给予扣除（此并不构成甲方违约）。</w:t>
      </w:r>
      <w:r>
        <w:rPr>
          <w:color w:val="auto"/>
          <w:highlight w:val="none"/>
          <w:u w:val="single"/>
        </w:rPr>
        <w:t>现场安健环奖惩</w:t>
      </w:r>
      <w:r>
        <w:rPr>
          <w:rFonts w:hint="eastAsia"/>
          <w:color w:val="auto"/>
          <w:highlight w:val="none"/>
          <w:u w:val="single"/>
        </w:rPr>
        <w:t>规定由甲方在乙方入场（厂</w:t>
      </w:r>
      <w:r>
        <w:rPr>
          <w:color w:val="auto"/>
          <w:highlight w:val="none"/>
          <w:u w:val="single"/>
        </w:rPr>
        <w:t>）</w:t>
      </w:r>
      <w:r>
        <w:rPr>
          <w:rFonts w:hint="eastAsia"/>
          <w:color w:val="auto"/>
          <w:highlight w:val="none"/>
          <w:u w:val="single"/>
        </w:rPr>
        <w:t>前进行解读宣贯，并交由乙方书面签收确认。常见习惯性违章行为（包括但不限于以下内容）处罚标准如下：</w:t>
      </w:r>
    </w:p>
    <w:tbl>
      <w:tblPr>
        <w:tblStyle w:val="27"/>
        <w:tblW w:w="92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7308"/>
        <w:gridCol w:w="63"/>
        <w:gridCol w:w="79"/>
        <w:gridCol w:w="1063"/>
      </w:tblGrid>
      <w:tr w14:paraId="2CB6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5A6DF01">
            <w:pPr>
              <w:snapToGrid w:val="0"/>
              <w:jc w:val="center"/>
              <w:rPr>
                <w:color w:val="auto"/>
                <w:sz w:val="21"/>
                <w:szCs w:val="21"/>
                <w:highlight w:val="none"/>
                <w:u w:val="single"/>
              </w:rPr>
            </w:pPr>
            <w:r>
              <w:rPr>
                <w:color w:val="auto"/>
                <w:sz w:val="21"/>
                <w:szCs w:val="21"/>
                <w:highlight w:val="none"/>
                <w:u w:val="single"/>
              </w:rPr>
              <w:t>序号</w:t>
            </w:r>
          </w:p>
        </w:tc>
        <w:tc>
          <w:tcPr>
            <w:tcW w:w="7450" w:type="dxa"/>
            <w:gridSpan w:val="3"/>
            <w:noWrap w:val="0"/>
            <w:vAlign w:val="top"/>
          </w:tcPr>
          <w:p w14:paraId="62A663D9">
            <w:pPr>
              <w:snapToGrid w:val="0"/>
              <w:rPr>
                <w:color w:val="auto"/>
                <w:sz w:val="21"/>
                <w:szCs w:val="21"/>
                <w:highlight w:val="none"/>
                <w:u w:val="single"/>
              </w:rPr>
            </w:pPr>
            <w:r>
              <w:rPr>
                <w:color w:val="auto"/>
                <w:sz w:val="21"/>
                <w:szCs w:val="21"/>
                <w:highlight w:val="none"/>
                <w:u w:val="single"/>
              </w:rPr>
              <w:t>违章行为</w:t>
            </w:r>
          </w:p>
        </w:tc>
        <w:tc>
          <w:tcPr>
            <w:tcW w:w="1063" w:type="dxa"/>
            <w:noWrap w:val="0"/>
            <w:vAlign w:val="top"/>
          </w:tcPr>
          <w:p w14:paraId="7DC7DEF7">
            <w:pPr>
              <w:snapToGrid w:val="0"/>
              <w:jc w:val="center"/>
              <w:rPr>
                <w:color w:val="auto"/>
                <w:sz w:val="21"/>
                <w:szCs w:val="21"/>
                <w:highlight w:val="none"/>
                <w:u w:val="single"/>
              </w:rPr>
            </w:pPr>
            <w:r>
              <w:rPr>
                <w:color w:val="auto"/>
                <w:sz w:val="21"/>
                <w:szCs w:val="21"/>
                <w:highlight w:val="none"/>
                <w:u w:val="single"/>
              </w:rPr>
              <w:t>处罚标准</w:t>
            </w:r>
          </w:p>
        </w:tc>
      </w:tr>
      <w:tr w14:paraId="6BC51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9200" w:type="dxa"/>
            <w:gridSpan w:val="5"/>
            <w:noWrap w:val="0"/>
            <w:vAlign w:val="center"/>
          </w:tcPr>
          <w:p w14:paraId="2E49AEC5">
            <w:pPr>
              <w:pStyle w:val="57"/>
              <w:snapToGrid w:val="0"/>
              <w:spacing w:after="120"/>
              <w:ind w:firstLine="0" w:firstLineChars="0"/>
              <w:jc w:val="left"/>
              <w:rPr>
                <w:color w:val="auto"/>
                <w:sz w:val="21"/>
                <w:szCs w:val="21"/>
                <w:highlight w:val="none"/>
                <w:u w:val="single"/>
              </w:rPr>
            </w:pPr>
            <w:r>
              <w:rPr>
                <w:color w:val="auto"/>
                <w:sz w:val="21"/>
                <w:szCs w:val="21"/>
                <w:highlight w:val="none"/>
                <w:u w:val="single"/>
              </w:rPr>
              <w:t>1.一般习惯性违章行为     有下列行为之一者给予相关责任人</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43DB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BF8F097">
            <w:pPr>
              <w:snapToGrid w:val="0"/>
              <w:jc w:val="center"/>
              <w:rPr>
                <w:color w:val="auto"/>
                <w:sz w:val="21"/>
                <w:szCs w:val="21"/>
                <w:highlight w:val="none"/>
                <w:u w:val="single"/>
              </w:rPr>
            </w:pPr>
            <w:r>
              <w:rPr>
                <w:color w:val="auto"/>
                <w:sz w:val="21"/>
                <w:szCs w:val="21"/>
                <w:highlight w:val="none"/>
                <w:u w:val="single"/>
              </w:rPr>
              <w:t>1.1</w:t>
            </w:r>
          </w:p>
        </w:tc>
        <w:tc>
          <w:tcPr>
            <w:tcW w:w="7308" w:type="dxa"/>
            <w:noWrap w:val="0"/>
            <w:vAlign w:val="top"/>
          </w:tcPr>
          <w:p w14:paraId="75644632">
            <w:pPr>
              <w:snapToGrid w:val="0"/>
              <w:rPr>
                <w:color w:val="auto"/>
                <w:sz w:val="21"/>
                <w:szCs w:val="21"/>
                <w:highlight w:val="none"/>
                <w:u w:val="single"/>
              </w:rPr>
            </w:pPr>
            <w:r>
              <w:rPr>
                <w:rFonts w:hint="eastAsia"/>
                <w:color w:val="auto"/>
                <w:sz w:val="21"/>
                <w:szCs w:val="21"/>
                <w:highlight w:val="none"/>
                <w:u w:val="single"/>
              </w:rPr>
              <w:t>进入施工现场未戴安全帽，或</w:t>
            </w:r>
            <w:r>
              <w:rPr>
                <w:color w:val="auto"/>
                <w:sz w:val="21"/>
                <w:szCs w:val="21"/>
                <w:highlight w:val="none"/>
                <w:u w:val="single"/>
              </w:rPr>
              <w:t>安全帽没有正确佩戴，安全帽带未系紧</w:t>
            </w:r>
          </w:p>
        </w:tc>
        <w:tc>
          <w:tcPr>
            <w:tcW w:w="1205" w:type="dxa"/>
            <w:gridSpan w:val="3"/>
            <w:noWrap w:val="0"/>
            <w:vAlign w:val="top"/>
          </w:tcPr>
          <w:p w14:paraId="62BCA484">
            <w:pPr>
              <w:snapToGrid w:val="0"/>
              <w:jc w:val="center"/>
              <w:rPr>
                <w:color w:val="auto"/>
                <w:sz w:val="21"/>
                <w:szCs w:val="21"/>
                <w:highlight w:val="none"/>
                <w:u w:val="single"/>
              </w:rPr>
            </w:pPr>
          </w:p>
        </w:tc>
      </w:tr>
      <w:tr w14:paraId="0A986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D11CB9C">
            <w:pPr>
              <w:snapToGrid w:val="0"/>
              <w:jc w:val="center"/>
              <w:rPr>
                <w:color w:val="auto"/>
                <w:sz w:val="21"/>
                <w:szCs w:val="21"/>
                <w:highlight w:val="none"/>
                <w:u w:val="single"/>
              </w:rPr>
            </w:pPr>
            <w:r>
              <w:rPr>
                <w:color w:val="auto"/>
                <w:sz w:val="21"/>
                <w:szCs w:val="21"/>
                <w:highlight w:val="none"/>
                <w:u w:val="single"/>
              </w:rPr>
              <w:t>1.2</w:t>
            </w:r>
          </w:p>
        </w:tc>
        <w:tc>
          <w:tcPr>
            <w:tcW w:w="7308" w:type="dxa"/>
            <w:noWrap w:val="0"/>
            <w:vAlign w:val="top"/>
          </w:tcPr>
          <w:p w14:paraId="34C00C62">
            <w:pPr>
              <w:snapToGrid w:val="0"/>
              <w:rPr>
                <w:color w:val="auto"/>
                <w:sz w:val="21"/>
                <w:szCs w:val="21"/>
                <w:highlight w:val="none"/>
                <w:u w:val="single"/>
              </w:rPr>
            </w:pPr>
            <w:r>
              <w:rPr>
                <w:color w:val="auto"/>
                <w:sz w:val="21"/>
                <w:szCs w:val="21"/>
                <w:highlight w:val="none"/>
                <w:u w:val="single"/>
              </w:rPr>
              <w:t>着装不规范（如：未戴出入证，工作服未扣好钮扣，穿背心、短裤、裙子、拖鞋、高跟鞋进入施工现场，踩鞋后跟等）</w:t>
            </w:r>
          </w:p>
        </w:tc>
        <w:tc>
          <w:tcPr>
            <w:tcW w:w="1205" w:type="dxa"/>
            <w:gridSpan w:val="3"/>
            <w:noWrap w:val="0"/>
            <w:vAlign w:val="top"/>
          </w:tcPr>
          <w:p w14:paraId="159DF165">
            <w:pPr>
              <w:snapToGrid w:val="0"/>
              <w:jc w:val="center"/>
              <w:rPr>
                <w:color w:val="auto"/>
                <w:sz w:val="21"/>
                <w:szCs w:val="21"/>
                <w:highlight w:val="none"/>
                <w:u w:val="single"/>
              </w:rPr>
            </w:pPr>
          </w:p>
        </w:tc>
      </w:tr>
      <w:tr w14:paraId="431D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C469791">
            <w:pPr>
              <w:snapToGrid w:val="0"/>
              <w:jc w:val="center"/>
              <w:rPr>
                <w:color w:val="auto"/>
                <w:sz w:val="21"/>
                <w:szCs w:val="21"/>
                <w:highlight w:val="none"/>
                <w:u w:val="single"/>
              </w:rPr>
            </w:pPr>
            <w:r>
              <w:rPr>
                <w:color w:val="auto"/>
                <w:sz w:val="21"/>
                <w:szCs w:val="21"/>
                <w:highlight w:val="none"/>
                <w:u w:val="single"/>
              </w:rPr>
              <w:t>1.3</w:t>
            </w:r>
          </w:p>
        </w:tc>
        <w:tc>
          <w:tcPr>
            <w:tcW w:w="7308" w:type="dxa"/>
            <w:noWrap w:val="0"/>
            <w:vAlign w:val="top"/>
          </w:tcPr>
          <w:p w14:paraId="4E51AAC5">
            <w:pPr>
              <w:snapToGrid w:val="0"/>
              <w:rPr>
                <w:color w:val="auto"/>
                <w:sz w:val="21"/>
                <w:szCs w:val="21"/>
                <w:highlight w:val="none"/>
                <w:u w:val="single"/>
              </w:rPr>
            </w:pPr>
            <w:r>
              <w:rPr>
                <w:color w:val="auto"/>
                <w:sz w:val="21"/>
                <w:szCs w:val="21"/>
                <w:highlight w:val="none"/>
                <w:u w:val="single"/>
              </w:rPr>
              <w:t>特种工种无证作业</w:t>
            </w:r>
          </w:p>
        </w:tc>
        <w:tc>
          <w:tcPr>
            <w:tcW w:w="1205" w:type="dxa"/>
            <w:gridSpan w:val="3"/>
            <w:noWrap w:val="0"/>
            <w:vAlign w:val="top"/>
          </w:tcPr>
          <w:p w14:paraId="1AB3157F">
            <w:pPr>
              <w:snapToGrid w:val="0"/>
              <w:jc w:val="center"/>
              <w:rPr>
                <w:color w:val="auto"/>
                <w:sz w:val="21"/>
                <w:szCs w:val="21"/>
                <w:highlight w:val="none"/>
                <w:u w:val="single"/>
              </w:rPr>
            </w:pPr>
          </w:p>
        </w:tc>
      </w:tr>
      <w:tr w14:paraId="449FE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31FD55E">
            <w:pPr>
              <w:snapToGrid w:val="0"/>
              <w:jc w:val="center"/>
              <w:rPr>
                <w:color w:val="auto"/>
                <w:sz w:val="21"/>
                <w:szCs w:val="21"/>
                <w:highlight w:val="none"/>
                <w:u w:val="single"/>
              </w:rPr>
            </w:pPr>
            <w:r>
              <w:rPr>
                <w:color w:val="auto"/>
                <w:sz w:val="21"/>
                <w:szCs w:val="21"/>
                <w:highlight w:val="none"/>
                <w:u w:val="single"/>
              </w:rPr>
              <w:t>1.4</w:t>
            </w:r>
          </w:p>
        </w:tc>
        <w:tc>
          <w:tcPr>
            <w:tcW w:w="7308" w:type="dxa"/>
            <w:noWrap w:val="0"/>
            <w:vAlign w:val="top"/>
          </w:tcPr>
          <w:p w14:paraId="624FDC96">
            <w:pPr>
              <w:snapToGrid w:val="0"/>
              <w:rPr>
                <w:color w:val="auto"/>
                <w:sz w:val="21"/>
                <w:szCs w:val="21"/>
                <w:highlight w:val="none"/>
                <w:u w:val="single"/>
              </w:rPr>
            </w:pPr>
            <w:r>
              <w:rPr>
                <w:color w:val="auto"/>
                <w:sz w:val="21"/>
                <w:szCs w:val="21"/>
                <w:highlight w:val="none"/>
                <w:u w:val="single"/>
              </w:rPr>
              <w:t>超负荷或超期限使用电气、机械设备</w:t>
            </w:r>
          </w:p>
        </w:tc>
        <w:tc>
          <w:tcPr>
            <w:tcW w:w="1205" w:type="dxa"/>
            <w:gridSpan w:val="3"/>
            <w:noWrap w:val="0"/>
            <w:vAlign w:val="top"/>
          </w:tcPr>
          <w:p w14:paraId="1C7C6CC2">
            <w:pPr>
              <w:snapToGrid w:val="0"/>
              <w:jc w:val="center"/>
              <w:rPr>
                <w:color w:val="auto"/>
                <w:sz w:val="21"/>
                <w:szCs w:val="21"/>
                <w:highlight w:val="none"/>
                <w:u w:val="single"/>
              </w:rPr>
            </w:pPr>
          </w:p>
        </w:tc>
      </w:tr>
      <w:tr w14:paraId="5EE57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FB0C880">
            <w:pPr>
              <w:snapToGrid w:val="0"/>
              <w:jc w:val="center"/>
              <w:rPr>
                <w:color w:val="auto"/>
                <w:sz w:val="21"/>
                <w:szCs w:val="21"/>
                <w:highlight w:val="none"/>
                <w:u w:val="single"/>
              </w:rPr>
            </w:pPr>
            <w:r>
              <w:rPr>
                <w:color w:val="auto"/>
                <w:sz w:val="21"/>
                <w:szCs w:val="21"/>
                <w:highlight w:val="none"/>
                <w:u w:val="single"/>
              </w:rPr>
              <w:t>1.5</w:t>
            </w:r>
          </w:p>
        </w:tc>
        <w:tc>
          <w:tcPr>
            <w:tcW w:w="7308" w:type="dxa"/>
            <w:noWrap w:val="0"/>
            <w:vAlign w:val="top"/>
          </w:tcPr>
          <w:p w14:paraId="5503D972">
            <w:pPr>
              <w:snapToGrid w:val="0"/>
              <w:rPr>
                <w:color w:val="auto"/>
                <w:sz w:val="21"/>
                <w:szCs w:val="21"/>
                <w:highlight w:val="none"/>
                <w:u w:val="single"/>
              </w:rPr>
            </w:pPr>
            <w:r>
              <w:rPr>
                <w:color w:val="auto"/>
                <w:sz w:val="21"/>
                <w:szCs w:val="21"/>
                <w:highlight w:val="none"/>
                <w:u w:val="single"/>
              </w:rPr>
              <w:t>酒后进入施工现场，在现场睡觉</w:t>
            </w:r>
          </w:p>
        </w:tc>
        <w:tc>
          <w:tcPr>
            <w:tcW w:w="1205" w:type="dxa"/>
            <w:gridSpan w:val="3"/>
            <w:noWrap w:val="0"/>
            <w:vAlign w:val="top"/>
          </w:tcPr>
          <w:p w14:paraId="30C86C10">
            <w:pPr>
              <w:snapToGrid w:val="0"/>
              <w:jc w:val="center"/>
              <w:rPr>
                <w:color w:val="auto"/>
                <w:sz w:val="21"/>
                <w:szCs w:val="21"/>
                <w:highlight w:val="none"/>
                <w:u w:val="single"/>
              </w:rPr>
            </w:pPr>
          </w:p>
        </w:tc>
      </w:tr>
      <w:tr w14:paraId="6757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C975844">
            <w:pPr>
              <w:snapToGrid w:val="0"/>
              <w:jc w:val="center"/>
              <w:rPr>
                <w:color w:val="auto"/>
                <w:sz w:val="21"/>
                <w:szCs w:val="21"/>
                <w:highlight w:val="none"/>
                <w:u w:val="single"/>
              </w:rPr>
            </w:pPr>
            <w:r>
              <w:rPr>
                <w:color w:val="auto"/>
                <w:sz w:val="21"/>
                <w:szCs w:val="21"/>
                <w:highlight w:val="none"/>
                <w:u w:val="single"/>
              </w:rPr>
              <w:t>1.6</w:t>
            </w:r>
          </w:p>
        </w:tc>
        <w:tc>
          <w:tcPr>
            <w:tcW w:w="7308" w:type="dxa"/>
            <w:noWrap w:val="0"/>
            <w:vAlign w:val="top"/>
          </w:tcPr>
          <w:p w14:paraId="558DB514">
            <w:pPr>
              <w:snapToGrid w:val="0"/>
              <w:rPr>
                <w:color w:val="auto"/>
                <w:sz w:val="21"/>
                <w:szCs w:val="21"/>
                <w:highlight w:val="none"/>
                <w:u w:val="single"/>
              </w:rPr>
            </w:pPr>
            <w:r>
              <w:rPr>
                <w:color w:val="auto"/>
                <w:sz w:val="21"/>
                <w:szCs w:val="21"/>
                <w:highlight w:val="none"/>
                <w:u w:val="single"/>
              </w:rPr>
              <w:t>未按规定布置或擅自拆除、损坏、移动安全设施、标志、警告牌</w:t>
            </w:r>
          </w:p>
        </w:tc>
        <w:tc>
          <w:tcPr>
            <w:tcW w:w="1205" w:type="dxa"/>
            <w:gridSpan w:val="3"/>
            <w:noWrap w:val="0"/>
            <w:vAlign w:val="top"/>
          </w:tcPr>
          <w:p w14:paraId="7AF5B0FB">
            <w:pPr>
              <w:snapToGrid w:val="0"/>
              <w:jc w:val="center"/>
              <w:rPr>
                <w:color w:val="auto"/>
                <w:sz w:val="21"/>
                <w:szCs w:val="21"/>
                <w:highlight w:val="none"/>
                <w:u w:val="single"/>
              </w:rPr>
            </w:pPr>
          </w:p>
        </w:tc>
      </w:tr>
      <w:tr w14:paraId="283A1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356D01A">
            <w:pPr>
              <w:snapToGrid w:val="0"/>
              <w:jc w:val="center"/>
              <w:rPr>
                <w:color w:val="auto"/>
                <w:sz w:val="21"/>
                <w:szCs w:val="21"/>
                <w:highlight w:val="none"/>
                <w:u w:val="single"/>
              </w:rPr>
            </w:pPr>
            <w:r>
              <w:rPr>
                <w:color w:val="auto"/>
                <w:sz w:val="21"/>
                <w:szCs w:val="21"/>
                <w:highlight w:val="none"/>
                <w:u w:val="single"/>
              </w:rPr>
              <w:t>1.7</w:t>
            </w:r>
          </w:p>
        </w:tc>
        <w:tc>
          <w:tcPr>
            <w:tcW w:w="7308" w:type="dxa"/>
            <w:noWrap w:val="0"/>
            <w:vAlign w:val="top"/>
          </w:tcPr>
          <w:p w14:paraId="0A674A6F">
            <w:pPr>
              <w:snapToGrid w:val="0"/>
              <w:rPr>
                <w:rFonts w:hint="eastAsia"/>
                <w:color w:val="auto"/>
                <w:sz w:val="21"/>
                <w:szCs w:val="21"/>
                <w:highlight w:val="none"/>
                <w:u w:val="single"/>
              </w:rPr>
            </w:pPr>
            <w:r>
              <w:rPr>
                <w:color w:val="auto"/>
                <w:sz w:val="21"/>
                <w:szCs w:val="21"/>
                <w:highlight w:val="none"/>
                <w:u w:val="single"/>
              </w:rPr>
              <w:t>检修、清理运行中设备</w:t>
            </w:r>
          </w:p>
        </w:tc>
        <w:tc>
          <w:tcPr>
            <w:tcW w:w="1205" w:type="dxa"/>
            <w:gridSpan w:val="3"/>
            <w:noWrap w:val="0"/>
            <w:vAlign w:val="top"/>
          </w:tcPr>
          <w:p w14:paraId="4724C0EE">
            <w:pPr>
              <w:snapToGrid w:val="0"/>
              <w:jc w:val="center"/>
              <w:rPr>
                <w:color w:val="auto"/>
                <w:sz w:val="21"/>
                <w:szCs w:val="21"/>
                <w:highlight w:val="none"/>
                <w:u w:val="single"/>
              </w:rPr>
            </w:pPr>
          </w:p>
        </w:tc>
      </w:tr>
      <w:tr w14:paraId="4E189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1ABC7FE">
            <w:pPr>
              <w:snapToGrid w:val="0"/>
              <w:jc w:val="center"/>
              <w:rPr>
                <w:color w:val="auto"/>
                <w:sz w:val="21"/>
                <w:szCs w:val="21"/>
                <w:highlight w:val="none"/>
                <w:u w:val="single"/>
              </w:rPr>
            </w:pPr>
            <w:r>
              <w:rPr>
                <w:color w:val="auto"/>
                <w:sz w:val="21"/>
                <w:szCs w:val="21"/>
                <w:highlight w:val="none"/>
                <w:u w:val="single"/>
              </w:rPr>
              <w:t>1.8</w:t>
            </w:r>
          </w:p>
        </w:tc>
        <w:tc>
          <w:tcPr>
            <w:tcW w:w="7308" w:type="dxa"/>
            <w:noWrap w:val="0"/>
            <w:vAlign w:val="top"/>
          </w:tcPr>
          <w:p w14:paraId="63B11F66">
            <w:pPr>
              <w:snapToGrid w:val="0"/>
              <w:rPr>
                <w:color w:val="auto"/>
                <w:sz w:val="21"/>
                <w:szCs w:val="21"/>
                <w:highlight w:val="none"/>
                <w:u w:val="single"/>
              </w:rPr>
            </w:pPr>
            <w:r>
              <w:rPr>
                <w:color w:val="auto"/>
                <w:sz w:val="21"/>
                <w:szCs w:val="21"/>
                <w:highlight w:val="none"/>
                <w:u w:val="single"/>
              </w:rPr>
              <w:t>各类施工机械、电气安全保护装置不齐</w:t>
            </w:r>
          </w:p>
        </w:tc>
        <w:tc>
          <w:tcPr>
            <w:tcW w:w="1205" w:type="dxa"/>
            <w:gridSpan w:val="3"/>
            <w:noWrap w:val="0"/>
            <w:vAlign w:val="top"/>
          </w:tcPr>
          <w:p w14:paraId="1CA85FEC">
            <w:pPr>
              <w:snapToGrid w:val="0"/>
              <w:jc w:val="center"/>
              <w:rPr>
                <w:color w:val="auto"/>
                <w:sz w:val="21"/>
                <w:szCs w:val="21"/>
                <w:highlight w:val="none"/>
                <w:u w:val="single"/>
              </w:rPr>
            </w:pPr>
          </w:p>
        </w:tc>
      </w:tr>
      <w:tr w14:paraId="16719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1B8B458">
            <w:pPr>
              <w:snapToGrid w:val="0"/>
              <w:jc w:val="center"/>
              <w:rPr>
                <w:color w:val="auto"/>
                <w:sz w:val="21"/>
                <w:szCs w:val="21"/>
                <w:highlight w:val="none"/>
                <w:u w:val="single"/>
              </w:rPr>
            </w:pPr>
            <w:r>
              <w:rPr>
                <w:color w:val="auto"/>
                <w:sz w:val="21"/>
                <w:szCs w:val="21"/>
                <w:highlight w:val="none"/>
                <w:u w:val="single"/>
              </w:rPr>
              <w:t>1.9</w:t>
            </w:r>
          </w:p>
        </w:tc>
        <w:tc>
          <w:tcPr>
            <w:tcW w:w="7308" w:type="dxa"/>
            <w:noWrap w:val="0"/>
            <w:vAlign w:val="top"/>
          </w:tcPr>
          <w:p w14:paraId="0F32F088">
            <w:pPr>
              <w:snapToGrid w:val="0"/>
              <w:rPr>
                <w:color w:val="auto"/>
                <w:sz w:val="21"/>
                <w:szCs w:val="21"/>
                <w:highlight w:val="none"/>
                <w:u w:val="single"/>
              </w:rPr>
            </w:pPr>
            <w:r>
              <w:rPr>
                <w:color w:val="auto"/>
                <w:sz w:val="21"/>
                <w:szCs w:val="21"/>
                <w:highlight w:val="none"/>
                <w:u w:val="single"/>
              </w:rPr>
              <w:t>机械设备的电气、转动部件外露部分无防护装置</w:t>
            </w:r>
          </w:p>
        </w:tc>
        <w:tc>
          <w:tcPr>
            <w:tcW w:w="1205" w:type="dxa"/>
            <w:gridSpan w:val="3"/>
            <w:noWrap w:val="0"/>
            <w:vAlign w:val="top"/>
          </w:tcPr>
          <w:p w14:paraId="12E5EA40">
            <w:pPr>
              <w:snapToGrid w:val="0"/>
              <w:jc w:val="center"/>
              <w:rPr>
                <w:color w:val="auto"/>
                <w:sz w:val="21"/>
                <w:szCs w:val="21"/>
                <w:highlight w:val="none"/>
                <w:u w:val="single"/>
              </w:rPr>
            </w:pPr>
          </w:p>
        </w:tc>
      </w:tr>
      <w:tr w14:paraId="3483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6B48EA7">
            <w:pPr>
              <w:snapToGrid w:val="0"/>
              <w:jc w:val="center"/>
              <w:rPr>
                <w:color w:val="auto"/>
                <w:sz w:val="21"/>
                <w:szCs w:val="21"/>
                <w:highlight w:val="none"/>
                <w:u w:val="single"/>
              </w:rPr>
            </w:pPr>
            <w:r>
              <w:rPr>
                <w:color w:val="auto"/>
                <w:sz w:val="21"/>
                <w:szCs w:val="21"/>
                <w:highlight w:val="none"/>
                <w:u w:val="single"/>
              </w:rPr>
              <w:t>1.10</w:t>
            </w:r>
          </w:p>
        </w:tc>
        <w:tc>
          <w:tcPr>
            <w:tcW w:w="7308" w:type="dxa"/>
            <w:noWrap w:val="0"/>
            <w:vAlign w:val="top"/>
          </w:tcPr>
          <w:p w14:paraId="0692A046">
            <w:pPr>
              <w:snapToGrid w:val="0"/>
              <w:rPr>
                <w:color w:val="auto"/>
                <w:sz w:val="21"/>
                <w:szCs w:val="21"/>
                <w:highlight w:val="none"/>
                <w:u w:val="single"/>
              </w:rPr>
            </w:pPr>
            <w:r>
              <w:rPr>
                <w:color w:val="auto"/>
                <w:sz w:val="21"/>
                <w:szCs w:val="21"/>
                <w:highlight w:val="none"/>
                <w:u w:val="single"/>
              </w:rPr>
              <w:t>使用不合格的设备、机械、工器具、劳动保护用品</w:t>
            </w:r>
          </w:p>
        </w:tc>
        <w:tc>
          <w:tcPr>
            <w:tcW w:w="1205" w:type="dxa"/>
            <w:gridSpan w:val="3"/>
            <w:noWrap w:val="0"/>
            <w:vAlign w:val="top"/>
          </w:tcPr>
          <w:p w14:paraId="449421E9">
            <w:pPr>
              <w:snapToGrid w:val="0"/>
              <w:jc w:val="center"/>
              <w:rPr>
                <w:color w:val="auto"/>
                <w:sz w:val="21"/>
                <w:szCs w:val="21"/>
                <w:highlight w:val="none"/>
                <w:u w:val="single"/>
              </w:rPr>
            </w:pPr>
          </w:p>
        </w:tc>
      </w:tr>
      <w:tr w14:paraId="56A1C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C32AE42">
            <w:pPr>
              <w:snapToGrid w:val="0"/>
              <w:jc w:val="center"/>
              <w:rPr>
                <w:color w:val="auto"/>
                <w:sz w:val="21"/>
                <w:szCs w:val="21"/>
                <w:highlight w:val="none"/>
                <w:u w:val="single"/>
              </w:rPr>
            </w:pPr>
            <w:r>
              <w:rPr>
                <w:color w:val="auto"/>
                <w:sz w:val="21"/>
                <w:szCs w:val="21"/>
                <w:highlight w:val="none"/>
                <w:u w:val="single"/>
              </w:rPr>
              <w:t>1.11</w:t>
            </w:r>
          </w:p>
        </w:tc>
        <w:tc>
          <w:tcPr>
            <w:tcW w:w="7308" w:type="dxa"/>
            <w:noWrap w:val="0"/>
            <w:vAlign w:val="top"/>
          </w:tcPr>
          <w:p w14:paraId="22C9E4D1">
            <w:pPr>
              <w:snapToGrid w:val="0"/>
              <w:rPr>
                <w:color w:val="auto"/>
                <w:sz w:val="21"/>
                <w:szCs w:val="21"/>
                <w:highlight w:val="none"/>
                <w:u w:val="single"/>
              </w:rPr>
            </w:pPr>
            <w:r>
              <w:rPr>
                <w:color w:val="auto"/>
                <w:sz w:val="21"/>
                <w:szCs w:val="21"/>
                <w:highlight w:val="none"/>
                <w:u w:val="single"/>
              </w:rPr>
              <w:t>夜间或光线不足地点未有充足照明或警示红灯</w:t>
            </w:r>
          </w:p>
        </w:tc>
        <w:tc>
          <w:tcPr>
            <w:tcW w:w="1205" w:type="dxa"/>
            <w:gridSpan w:val="3"/>
            <w:noWrap w:val="0"/>
            <w:vAlign w:val="top"/>
          </w:tcPr>
          <w:p w14:paraId="291F7376">
            <w:pPr>
              <w:snapToGrid w:val="0"/>
              <w:jc w:val="center"/>
              <w:rPr>
                <w:color w:val="auto"/>
                <w:sz w:val="21"/>
                <w:szCs w:val="21"/>
                <w:highlight w:val="none"/>
                <w:u w:val="single"/>
              </w:rPr>
            </w:pPr>
          </w:p>
        </w:tc>
      </w:tr>
      <w:tr w14:paraId="6FBB2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9710A9B">
            <w:pPr>
              <w:snapToGrid w:val="0"/>
              <w:jc w:val="center"/>
              <w:rPr>
                <w:color w:val="auto"/>
                <w:sz w:val="21"/>
                <w:szCs w:val="21"/>
                <w:highlight w:val="none"/>
                <w:u w:val="single"/>
              </w:rPr>
            </w:pPr>
            <w:r>
              <w:rPr>
                <w:color w:val="auto"/>
                <w:sz w:val="21"/>
                <w:szCs w:val="21"/>
                <w:highlight w:val="none"/>
                <w:u w:val="single"/>
              </w:rPr>
              <w:t>1.12</w:t>
            </w:r>
          </w:p>
        </w:tc>
        <w:tc>
          <w:tcPr>
            <w:tcW w:w="7308" w:type="dxa"/>
            <w:noWrap w:val="0"/>
            <w:vAlign w:val="top"/>
          </w:tcPr>
          <w:p w14:paraId="1200AC66">
            <w:pPr>
              <w:snapToGrid w:val="0"/>
              <w:rPr>
                <w:color w:val="auto"/>
                <w:sz w:val="21"/>
                <w:szCs w:val="21"/>
                <w:highlight w:val="none"/>
                <w:u w:val="single"/>
              </w:rPr>
            </w:pPr>
            <w:r>
              <w:rPr>
                <w:color w:val="auto"/>
                <w:sz w:val="21"/>
                <w:szCs w:val="21"/>
                <w:highlight w:val="none"/>
                <w:u w:val="single"/>
              </w:rPr>
              <w:t>起吊、存放零散物件未做好防坠措施</w:t>
            </w:r>
          </w:p>
        </w:tc>
        <w:tc>
          <w:tcPr>
            <w:tcW w:w="1205" w:type="dxa"/>
            <w:gridSpan w:val="3"/>
            <w:noWrap w:val="0"/>
            <w:vAlign w:val="top"/>
          </w:tcPr>
          <w:p w14:paraId="65F87EFE">
            <w:pPr>
              <w:snapToGrid w:val="0"/>
              <w:jc w:val="center"/>
              <w:rPr>
                <w:color w:val="auto"/>
                <w:sz w:val="21"/>
                <w:szCs w:val="21"/>
                <w:highlight w:val="none"/>
                <w:u w:val="single"/>
              </w:rPr>
            </w:pPr>
          </w:p>
        </w:tc>
      </w:tr>
      <w:tr w14:paraId="573F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C3AF2CD">
            <w:pPr>
              <w:snapToGrid w:val="0"/>
              <w:jc w:val="center"/>
              <w:rPr>
                <w:color w:val="auto"/>
                <w:sz w:val="21"/>
                <w:szCs w:val="21"/>
                <w:highlight w:val="none"/>
                <w:u w:val="single"/>
              </w:rPr>
            </w:pPr>
            <w:r>
              <w:rPr>
                <w:color w:val="auto"/>
                <w:sz w:val="21"/>
                <w:szCs w:val="21"/>
                <w:highlight w:val="none"/>
                <w:u w:val="single"/>
              </w:rPr>
              <w:t>1.13</w:t>
            </w:r>
          </w:p>
        </w:tc>
        <w:tc>
          <w:tcPr>
            <w:tcW w:w="7308" w:type="dxa"/>
            <w:noWrap w:val="0"/>
            <w:vAlign w:val="top"/>
          </w:tcPr>
          <w:p w14:paraId="0C10BEB4">
            <w:pPr>
              <w:snapToGrid w:val="0"/>
              <w:rPr>
                <w:color w:val="auto"/>
                <w:sz w:val="21"/>
                <w:szCs w:val="21"/>
                <w:highlight w:val="none"/>
                <w:u w:val="single"/>
              </w:rPr>
            </w:pPr>
            <w:r>
              <w:rPr>
                <w:color w:val="auto"/>
                <w:sz w:val="21"/>
                <w:szCs w:val="21"/>
                <w:highlight w:val="none"/>
                <w:u w:val="single"/>
              </w:rPr>
              <w:t>对地下设施、管线不采取保护、标识措施</w:t>
            </w:r>
          </w:p>
        </w:tc>
        <w:tc>
          <w:tcPr>
            <w:tcW w:w="1205" w:type="dxa"/>
            <w:gridSpan w:val="3"/>
            <w:noWrap w:val="0"/>
            <w:vAlign w:val="top"/>
          </w:tcPr>
          <w:p w14:paraId="1BD1872C">
            <w:pPr>
              <w:snapToGrid w:val="0"/>
              <w:jc w:val="center"/>
              <w:rPr>
                <w:color w:val="auto"/>
                <w:sz w:val="21"/>
                <w:szCs w:val="21"/>
                <w:highlight w:val="none"/>
                <w:u w:val="single"/>
              </w:rPr>
            </w:pPr>
          </w:p>
        </w:tc>
      </w:tr>
      <w:tr w14:paraId="2EF85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CC85180">
            <w:pPr>
              <w:snapToGrid w:val="0"/>
              <w:jc w:val="center"/>
              <w:rPr>
                <w:color w:val="auto"/>
                <w:sz w:val="21"/>
                <w:szCs w:val="21"/>
                <w:highlight w:val="none"/>
                <w:u w:val="single"/>
              </w:rPr>
            </w:pPr>
            <w:r>
              <w:rPr>
                <w:color w:val="auto"/>
                <w:sz w:val="21"/>
                <w:szCs w:val="21"/>
                <w:highlight w:val="none"/>
                <w:u w:val="single"/>
              </w:rPr>
              <w:t>1.14</w:t>
            </w:r>
          </w:p>
        </w:tc>
        <w:tc>
          <w:tcPr>
            <w:tcW w:w="7308" w:type="dxa"/>
            <w:noWrap w:val="0"/>
            <w:vAlign w:val="top"/>
          </w:tcPr>
          <w:p w14:paraId="63F5066C">
            <w:pPr>
              <w:snapToGrid w:val="0"/>
              <w:rPr>
                <w:color w:val="auto"/>
                <w:sz w:val="21"/>
                <w:szCs w:val="21"/>
                <w:highlight w:val="none"/>
                <w:u w:val="single"/>
              </w:rPr>
            </w:pPr>
            <w:r>
              <w:rPr>
                <w:color w:val="auto"/>
                <w:sz w:val="21"/>
                <w:szCs w:val="21"/>
                <w:highlight w:val="none"/>
                <w:u w:val="single"/>
              </w:rPr>
              <w:t>交叉、起重、带电作业未有隔离措施、警戒区域，并未设专人监护</w:t>
            </w:r>
          </w:p>
        </w:tc>
        <w:tc>
          <w:tcPr>
            <w:tcW w:w="1205" w:type="dxa"/>
            <w:gridSpan w:val="3"/>
            <w:noWrap w:val="0"/>
            <w:vAlign w:val="top"/>
          </w:tcPr>
          <w:p w14:paraId="4167C133">
            <w:pPr>
              <w:snapToGrid w:val="0"/>
              <w:jc w:val="center"/>
              <w:rPr>
                <w:color w:val="auto"/>
                <w:sz w:val="21"/>
                <w:szCs w:val="21"/>
                <w:highlight w:val="none"/>
                <w:u w:val="single"/>
              </w:rPr>
            </w:pPr>
          </w:p>
        </w:tc>
      </w:tr>
      <w:tr w14:paraId="68633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B602506">
            <w:pPr>
              <w:snapToGrid w:val="0"/>
              <w:jc w:val="center"/>
              <w:rPr>
                <w:color w:val="auto"/>
                <w:sz w:val="21"/>
                <w:szCs w:val="21"/>
                <w:highlight w:val="none"/>
                <w:u w:val="single"/>
              </w:rPr>
            </w:pPr>
            <w:r>
              <w:rPr>
                <w:color w:val="auto"/>
                <w:sz w:val="21"/>
                <w:szCs w:val="21"/>
                <w:highlight w:val="none"/>
                <w:u w:val="single"/>
              </w:rPr>
              <w:t>1.15</w:t>
            </w:r>
          </w:p>
        </w:tc>
        <w:tc>
          <w:tcPr>
            <w:tcW w:w="7308" w:type="dxa"/>
            <w:noWrap w:val="0"/>
            <w:vAlign w:val="top"/>
          </w:tcPr>
          <w:p w14:paraId="48584489">
            <w:pPr>
              <w:snapToGrid w:val="0"/>
              <w:rPr>
                <w:color w:val="auto"/>
                <w:sz w:val="21"/>
                <w:szCs w:val="21"/>
                <w:highlight w:val="none"/>
                <w:u w:val="single"/>
              </w:rPr>
            </w:pPr>
            <w:r>
              <w:rPr>
                <w:color w:val="auto"/>
                <w:sz w:val="21"/>
                <w:szCs w:val="21"/>
                <w:highlight w:val="none"/>
                <w:u w:val="single"/>
              </w:rPr>
              <w:t>密闭容器内、潮湿地点电源未使用安全电压或设置漏电保护开关，密闭容器未有良好通风、未设专人监护</w:t>
            </w:r>
          </w:p>
        </w:tc>
        <w:tc>
          <w:tcPr>
            <w:tcW w:w="1205" w:type="dxa"/>
            <w:gridSpan w:val="3"/>
            <w:noWrap w:val="0"/>
            <w:vAlign w:val="top"/>
          </w:tcPr>
          <w:p w14:paraId="4B381408">
            <w:pPr>
              <w:snapToGrid w:val="0"/>
              <w:jc w:val="center"/>
              <w:rPr>
                <w:color w:val="auto"/>
                <w:sz w:val="21"/>
                <w:szCs w:val="21"/>
                <w:highlight w:val="none"/>
                <w:u w:val="single"/>
              </w:rPr>
            </w:pPr>
          </w:p>
        </w:tc>
      </w:tr>
      <w:tr w14:paraId="20720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6454823">
            <w:pPr>
              <w:snapToGrid w:val="0"/>
              <w:jc w:val="center"/>
              <w:rPr>
                <w:color w:val="auto"/>
                <w:sz w:val="21"/>
                <w:szCs w:val="21"/>
                <w:highlight w:val="none"/>
                <w:u w:val="single"/>
              </w:rPr>
            </w:pPr>
            <w:r>
              <w:rPr>
                <w:color w:val="auto"/>
                <w:sz w:val="21"/>
                <w:szCs w:val="21"/>
                <w:highlight w:val="none"/>
                <w:u w:val="single"/>
              </w:rPr>
              <w:t>1.16</w:t>
            </w:r>
          </w:p>
        </w:tc>
        <w:tc>
          <w:tcPr>
            <w:tcW w:w="7308" w:type="dxa"/>
            <w:noWrap w:val="0"/>
            <w:vAlign w:val="top"/>
          </w:tcPr>
          <w:p w14:paraId="264388B2">
            <w:pPr>
              <w:snapToGrid w:val="0"/>
              <w:rPr>
                <w:color w:val="auto"/>
                <w:sz w:val="21"/>
                <w:szCs w:val="21"/>
                <w:highlight w:val="none"/>
                <w:u w:val="single"/>
              </w:rPr>
            </w:pPr>
            <w:r>
              <w:rPr>
                <w:color w:val="auto"/>
                <w:sz w:val="21"/>
                <w:szCs w:val="21"/>
                <w:highlight w:val="none"/>
                <w:u w:val="single"/>
              </w:rPr>
              <w:t>梯长不按规定驳长使用或放置不稳，多人同时站在梯子上作业</w:t>
            </w:r>
          </w:p>
        </w:tc>
        <w:tc>
          <w:tcPr>
            <w:tcW w:w="1205" w:type="dxa"/>
            <w:gridSpan w:val="3"/>
            <w:noWrap w:val="0"/>
            <w:vAlign w:val="top"/>
          </w:tcPr>
          <w:p w14:paraId="52739E49">
            <w:pPr>
              <w:snapToGrid w:val="0"/>
              <w:jc w:val="center"/>
              <w:rPr>
                <w:color w:val="auto"/>
                <w:sz w:val="21"/>
                <w:szCs w:val="21"/>
                <w:highlight w:val="none"/>
                <w:u w:val="single"/>
              </w:rPr>
            </w:pPr>
          </w:p>
        </w:tc>
      </w:tr>
      <w:tr w14:paraId="54A2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14:paraId="5CEC0BD2">
            <w:pPr>
              <w:snapToGrid w:val="0"/>
              <w:rPr>
                <w:color w:val="auto"/>
                <w:sz w:val="21"/>
                <w:szCs w:val="21"/>
                <w:highlight w:val="none"/>
                <w:u w:val="single"/>
              </w:rPr>
            </w:pPr>
            <w:r>
              <w:rPr>
                <w:color w:val="auto"/>
                <w:sz w:val="21"/>
                <w:szCs w:val="21"/>
                <w:highlight w:val="none"/>
                <w:u w:val="single"/>
              </w:rPr>
              <w:t>2.高空与交叉作业   违反下列行为给予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0000</w:t>
            </w:r>
            <w:r>
              <w:rPr>
                <w:color w:val="auto"/>
                <w:sz w:val="21"/>
                <w:szCs w:val="21"/>
                <w:highlight w:val="none"/>
                <w:u w:val="single"/>
              </w:rPr>
              <w:t>元处罚</w:t>
            </w:r>
          </w:p>
        </w:tc>
      </w:tr>
      <w:tr w14:paraId="61769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E9B507F">
            <w:pPr>
              <w:snapToGrid w:val="0"/>
              <w:jc w:val="center"/>
              <w:rPr>
                <w:color w:val="auto"/>
                <w:sz w:val="21"/>
                <w:szCs w:val="21"/>
                <w:highlight w:val="none"/>
                <w:u w:val="single"/>
              </w:rPr>
            </w:pPr>
            <w:r>
              <w:rPr>
                <w:color w:val="auto"/>
                <w:sz w:val="21"/>
                <w:szCs w:val="21"/>
                <w:highlight w:val="none"/>
                <w:u w:val="single"/>
              </w:rPr>
              <w:t>2.1</w:t>
            </w:r>
          </w:p>
        </w:tc>
        <w:tc>
          <w:tcPr>
            <w:tcW w:w="7371" w:type="dxa"/>
            <w:gridSpan w:val="2"/>
            <w:noWrap w:val="0"/>
            <w:vAlign w:val="top"/>
          </w:tcPr>
          <w:p w14:paraId="62B43ECB">
            <w:pPr>
              <w:snapToGrid w:val="0"/>
              <w:rPr>
                <w:color w:val="auto"/>
                <w:sz w:val="21"/>
                <w:szCs w:val="21"/>
                <w:highlight w:val="none"/>
                <w:u w:val="single"/>
              </w:rPr>
            </w:pPr>
            <w:r>
              <w:rPr>
                <w:color w:val="auto"/>
                <w:sz w:val="21"/>
                <w:szCs w:val="21"/>
                <w:highlight w:val="none"/>
                <w:u w:val="single"/>
              </w:rPr>
              <w:t xml:space="preserve">高空作业平台临边、孔洞、深坑、边坡高处等地点未设置围栏、盖板，或围栏、盖板不符合要求的 </w:t>
            </w:r>
          </w:p>
        </w:tc>
        <w:tc>
          <w:tcPr>
            <w:tcW w:w="1142" w:type="dxa"/>
            <w:gridSpan w:val="2"/>
            <w:noWrap w:val="0"/>
            <w:vAlign w:val="top"/>
          </w:tcPr>
          <w:p w14:paraId="33F585AF">
            <w:pPr>
              <w:snapToGrid w:val="0"/>
              <w:jc w:val="center"/>
              <w:rPr>
                <w:color w:val="auto"/>
                <w:sz w:val="21"/>
                <w:szCs w:val="21"/>
                <w:highlight w:val="none"/>
                <w:u w:val="single"/>
              </w:rPr>
            </w:pPr>
          </w:p>
        </w:tc>
      </w:tr>
      <w:tr w14:paraId="5BE9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0A1BBEF">
            <w:pPr>
              <w:snapToGrid w:val="0"/>
              <w:jc w:val="center"/>
              <w:rPr>
                <w:color w:val="auto"/>
                <w:sz w:val="21"/>
                <w:szCs w:val="21"/>
                <w:highlight w:val="none"/>
                <w:u w:val="single"/>
              </w:rPr>
            </w:pPr>
            <w:r>
              <w:rPr>
                <w:color w:val="auto"/>
                <w:sz w:val="21"/>
                <w:szCs w:val="21"/>
                <w:highlight w:val="none"/>
                <w:u w:val="single"/>
              </w:rPr>
              <w:t>2.2</w:t>
            </w:r>
          </w:p>
        </w:tc>
        <w:tc>
          <w:tcPr>
            <w:tcW w:w="7371" w:type="dxa"/>
            <w:gridSpan w:val="2"/>
            <w:noWrap w:val="0"/>
            <w:vAlign w:val="top"/>
          </w:tcPr>
          <w:p w14:paraId="03D4039E">
            <w:pPr>
              <w:snapToGrid w:val="0"/>
              <w:rPr>
                <w:color w:val="auto"/>
                <w:sz w:val="21"/>
                <w:szCs w:val="21"/>
                <w:highlight w:val="none"/>
                <w:u w:val="single"/>
              </w:rPr>
            </w:pPr>
            <w:r>
              <w:rPr>
                <w:color w:val="auto"/>
                <w:sz w:val="21"/>
                <w:szCs w:val="21"/>
                <w:highlight w:val="none"/>
                <w:u w:val="single"/>
              </w:rPr>
              <w:t>钢架柱梁、砼柱梁、屋架、竖梯、爬梯等没有平台或脚手架地方进行施工，未使用水平扶绳、垂直攀登自锁装置、安全网等保护措施的</w:t>
            </w:r>
          </w:p>
        </w:tc>
        <w:tc>
          <w:tcPr>
            <w:tcW w:w="1142" w:type="dxa"/>
            <w:gridSpan w:val="2"/>
            <w:noWrap w:val="0"/>
            <w:vAlign w:val="top"/>
          </w:tcPr>
          <w:p w14:paraId="6F1A9FFE">
            <w:pPr>
              <w:snapToGrid w:val="0"/>
              <w:jc w:val="center"/>
              <w:rPr>
                <w:color w:val="auto"/>
                <w:sz w:val="21"/>
                <w:szCs w:val="21"/>
                <w:highlight w:val="none"/>
                <w:u w:val="single"/>
              </w:rPr>
            </w:pPr>
          </w:p>
        </w:tc>
      </w:tr>
      <w:tr w14:paraId="25770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1630F6A">
            <w:pPr>
              <w:snapToGrid w:val="0"/>
              <w:jc w:val="center"/>
              <w:rPr>
                <w:color w:val="auto"/>
                <w:sz w:val="21"/>
                <w:szCs w:val="21"/>
                <w:highlight w:val="none"/>
                <w:u w:val="single"/>
              </w:rPr>
            </w:pPr>
            <w:r>
              <w:rPr>
                <w:color w:val="auto"/>
                <w:sz w:val="21"/>
                <w:szCs w:val="21"/>
                <w:highlight w:val="none"/>
                <w:u w:val="single"/>
              </w:rPr>
              <w:t>2.3</w:t>
            </w:r>
          </w:p>
        </w:tc>
        <w:tc>
          <w:tcPr>
            <w:tcW w:w="7371" w:type="dxa"/>
            <w:gridSpan w:val="2"/>
            <w:noWrap w:val="0"/>
            <w:vAlign w:val="top"/>
          </w:tcPr>
          <w:p w14:paraId="359B52A5">
            <w:pPr>
              <w:snapToGrid w:val="0"/>
              <w:rPr>
                <w:color w:val="auto"/>
                <w:sz w:val="21"/>
                <w:szCs w:val="21"/>
                <w:highlight w:val="none"/>
                <w:u w:val="single"/>
              </w:rPr>
            </w:pPr>
            <w:r>
              <w:rPr>
                <w:color w:val="auto"/>
                <w:sz w:val="21"/>
                <w:szCs w:val="21"/>
                <w:highlight w:val="none"/>
                <w:u w:val="single"/>
              </w:rPr>
              <w:t>高空作业未戴安全带，未扣挂上方牢固可靠处或者其他防坠措施</w:t>
            </w:r>
          </w:p>
        </w:tc>
        <w:tc>
          <w:tcPr>
            <w:tcW w:w="1142" w:type="dxa"/>
            <w:gridSpan w:val="2"/>
            <w:noWrap w:val="0"/>
            <w:vAlign w:val="top"/>
          </w:tcPr>
          <w:p w14:paraId="6A337A66">
            <w:pPr>
              <w:snapToGrid w:val="0"/>
              <w:jc w:val="center"/>
              <w:rPr>
                <w:color w:val="auto"/>
                <w:sz w:val="21"/>
                <w:szCs w:val="21"/>
                <w:highlight w:val="none"/>
                <w:u w:val="single"/>
              </w:rPr>
            </w:pPr>
          </w:p>
        </w:tc>
      </w:tr>
      <w:tr w14:paraId="0187D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1939966">
            <w:pPr>
              <w:snapToGrid w:val="0"/>
              <w:jc w:val="center"/>
              <w:rPr>
                <w:color w:val="auto"/>
                <w:sz w:val="21"/>
                <w:szCs w:val="21"/>
                <w:highlight w:val="none"/>
                <w:u w:val="single"/>
              </w:rPr>
            </w:pPr>
            <w:r>
              <w:rPr>
                <w:color w:val="auto"/>
                <w:sz w:val="21"/>
                <w:szCs w:val="21"/>
                <w:highlight w:val="none"/>
                <w:u w:val="single"/>
              </w:rPr>
              <w:t>2.4</w:t>
            </w:r>
          </w:p>
        </w:tc>
        <w:tc>
          <w:tcPr>
            <w:tcW w:w="7371" w:type="dxa"/>
            <w:gridSpan w:val="2"/>
            <w:noWrap w:val="0"/>
            <w:vAlign w:val="top"/>
          </w:tcPr>
          <w:p w14:paraId="0BAE2BE0">
            <w:pPr>
              <w:snapToGrid w:val="0"/>
              <w:rPr>
                <w:color w:val="auto"/>
                <w:sz w:val="21"/>
                <w:szCs w:val="21"/>
                <w:highlight w:val="none"/>
                <w:u w:val="single"/>
              </w:rPr>
            </w:pPr>
            <w:r>
              <w:rPr>
                <w:color w:val="auto"/>
                <w:sz w:val="21"/>
                <w:szCs w:val="21"/>
                <w:highlight w:val="none"/>
                <w:u w:val="single"/>
              </w:rPr>
              <w:t>简易结构上作业未采取可靠防坠措施</w:t>
            </w:r>
          </w:p>
        </w:tc>
        <w:tc>
          <w:tcPr>
            <w:tcW w:w="1142" w:type="dxa"/>
            <w:gridSpan w:val="2"/>
            <w:noWrap w:val="0"/>
            <w:vAlign w:val="top"/>
          </w:tcPr>
          <w:p w14:paraId="7EC07F90">
            <w:pPr>
              <w:snapToGrid w:val="0"/>
              <w:jc w:val="center"/>
              <w:rPr>
                <w:color w:val="auto"/>
                <w:sz w:val="21"/>
                <w:szCs w:val="21"/>
                <w:highlight w:val="none"/>
                <w:u w:val="single"/>
              </w:rPr>
            </w:pPr>
          </w:p>
        </w:tc>
      </w:tr>
      <w:tr w14:paraId="4C98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4466F8A">
            <w:pPr>
              <w:snapToGrid w:val="0"/>
              <w:jc w:val="center"/>
              <w:rPr>
                <w:color w:val="auto"/>
                <w:sz w:val="21"/>
                <w:szCs w:val="21"/>
                <w:highlight w:val="none"/>
                <w:u w:val="single"/>
              </w:rPr>
            </w:pPr>
            <w:r>
              <w:rPr>
                <w:color w:val="auto"/>
                <w:sz w:val="21"/>
                <w:szCs w:val="21"/>
                <w:highlight w:val="none"/>
                <w:u w:val="single"/>
              </w:rPr>
              <w:t>2.5</w:t>
            </w:r>
          </w:p>
        </w:tc>
        <w:tc>
          <w:tcPr>
            <w:tcW w:w="7371" w:type="dxa"/>
            <w:gridSpan w:val="2"/>
            <w:noWrap w:val="0"/>
            <w:vAlign w:val="top"/>
          </w:tcPr>
          <w:p w14:paraId="0E7875D9">
            <w:pPr>
              <w:snapToGrid w:val="0"/>
              <w:rPr>
                <w:color w:val="auto"/>
                <w:sz w:val="21"/>
                <w:szCs w:val="21"/>
                <w:highlight w:val="none"/>
                <w:u w:val="single"/>
              </w:rPr>
            </w:pPr>
            <w:r>
              <w:rPr>
                <w:color w:val="auto"/>
                <w:sz w:val="21"/>
                <w:szCs w:val="21"/>
                <w:highlight w:val="none"/>
                <w:u w:val="single"/>
              </w:rPr>
              <w:t>高空作业未按规定佩戴工具袋，上下抛扔物件</w:t>
            </w:r>
          </w:p>
        </w:tc>
        <w:tc>
          <w:tcPr>
            <w:tcW w:w="1142" w:type="dxa"/>
            <w:gridSpan w:val="2"/>
            <w:noWrap w:val="0"/>
            <w:vAlign w:val="top"/>
          </w:tcPr>
          <w:p w14:paraId="51C9F13E">
            <w:pPr>
              <w:snapToGrid w:val="0"/>
              <w:jc w:val="center"/>
              <w:rPr>
                <w:color w:val="auto"/>
                <w:sz w:val="21"/>
                <w:szCs w:val="21"/>
                <w:highlight w:val="none"/>
                <w:u w:val="single"/>
              </w:rPr>
            </w:pPr>
          </w:p>
        </w:tc>
      </w:tr>
      <w:tr w14:paraId="2BF6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0D162AD">
            <w:pPr>
              <w:snapToGrid w:val="0"/>
              <w:jc w:val="center"/>
              <w:rPr>
                <w:color w:val="auto"/>
                <w:sz w:val="21"/>
                <w:szCs w:val="21"/>
                <w:highlight w:val="none"/>
                <w:u w:val="single"/>
              </w:rPr>
            </w:pPr>
            <w:r>
              <w:rPr>
                <w:color w:val="auto"/>
                <w:sz w:val="21"/>
                <w:szCs w:val="21"/>
                <w:highlight w:val="none"/>
                <w:u w:val="single"/>
              </w:rPr>
              <w:t>2.6</w:t>
            </w:r>
          </w:p>
        </w:tc>
        <w:tc>
          <w:tcPr>
            <w:tcW w:w="7371" w:type="dxa"/>
            <w:gridSpan w:val="2"/>
            <w:noWrap w:val="0"/>
            <w:vAlign w:val="top"/>
          </w:tcPr>
          <w:p w14:paraId="4A91BBA5">
            <w:pPr>
              <w:snapToGrid w:val="0"/>
              <w:rPr>
                <w:color w:val="auto"/>
                <w:sz w:val="21"/>
                <w:szCs w:val="21"/>
                <w:highlight w:val="none"/>
                <w:u w:val="single"/>
              </w:rPr>
            </w:pPr>
            <w:r>
              <w:rPr>
                <w:color w:val="auto"/>
                <w:sz w:val="21"/>
                <w:szCs w:val="21"/>
                <w:highlight w:val="none"/>
                <w:u w:val="single"/>
              </w:rPr>
              <w:t>手持工具进行垂直攀爬</w:t>
            </w:r>
          </w:p>
        </w:tc>
        <w:tc>
          <w:tcPr>
            <w:tcW w:w="1142" w:type="dxa"/>
            <w:gridSpan w:val="2"/>
            <w:noWrap w:val="0"/>
            <w:vAlign w:val="top"/>
          </w:tcPr>
          <w:p w14:paraId="128F2A42">
            <w:pPr>
              <w:snapToGrid w:val="0"/>
              <w:jc w:val="center"/>
              <w:rPr>
                <w:color w:val="auto"/>
                <w:sz w:val="21"/>
                <w:szCs w:val="21"/>
                <w:highlight w:val="none"/>
                <w:u w:val="single"/>
              </w:rPr>
            </w:pPr>
          </w:p>
        </w:tc>
      </w:tr>
      <w:tr w14:paraId="29E1D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1B1B560">
            <w:pPr>
              <w:snapToGrid w:val="0"/>
              <w:jc w:val="center"/>
              <w:rPr>
                <w:color w:val="auto"/>
                <w:sz w:val="21"/>
                <w:szCs w:val="21"/>
                <w:highlight w:val="none"/>
                <w:u w:val="single"/>
              </w:rPr>
            </w:pPr>
            <w:r>
              <w:rPr>
                <w:color w:val="auto"/>
                <w:sz w:val="21"/>
                <w:szCs w:val="21"/>
                <w:highlight w:val="none"/>
                <w:u w:val="single"/>
              </w:rPr>
              <w:t>2.7</w:t>
            </w:r>
          </w:p>
        </w:tc>
        <w:tc>
          <w:tcPr>
            <w:tcW w:w="7371" w:type="dxa"/>
            <w:gridSpan w:val="2"/>
            <w:noWrap w:val="0"/>
            <w:vAlign w:val="top"/>
          </w:tcPr>
          <w:p w14:paraId="03CE988D">
            <w:pPr>
              <w:snapToGrid w:val="0"/>
              <w:rPr>
                <w:color w:val="auto"/>
                <w:sz w:val="21"/>
                <w:szCs w:val="21"/>
                <w:highlight w:val="none"/>
                <w:u w:val="single"/>
              </w:rPr>
            </w:pPr>
            <w:r>
              <w:rPr>
                <w:color w:val="auto"/>
                <w:sz w:val="21"/>
                <w:szCs w:val="21"/>
                <w:highlight w:val="none"/>
                <w:u w:val="single"/>
              </w:rPr>
              <w:t>交叉作业未及时进行信息沟通，没有采取错开垂直交叉地点或时间、搭设防护隔离设施或警示措施</w:t>
            </w:r>
          </w:p>
        </w:tc>
        <w:tc>
          <w:tcPr>
            <w:tcW w:w="1142" w:type="dxa"/>
            <w:gridSpan w:val="2"/>
            <w:noWrap w:val="0"/>
            <w:vAlign w:val="top"/>
          </w:tcPr>
          <w:p w14:paraId="3A0C3595">
            <w:pPr>
              <w:snapToGrid w:val="0"/>
              <w:jc w:val="center"/>
              <w:rPr>
                <w:color w:val="auto"/>
                <w:sz w:val="21"/>
                <w:szCs w:val="21"/>
                <w:highlight w:val="none"/>
                <w:u w:val="single"/>
              </w:rPr>
            </w:pPr>
          </w:p>
        </w:tc>
      </w:tr>
      <w:tr w14:paraId="32DB5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49143ED9">
            <w:pPr>
              <w:snapToGrid w:val="0"/>
              <w:rPr>
                <w:color w:val="auto"/>
                <w:sz w:val="21"/>
                <w:szCs w:val="21"/>
                <w:highlight w:val="none"/>
                <w:u w:val="single"/>
              </w:rPr>
            </w:pPr>
            <w:r>
              <w:rPr>
                <w:color w:val="auto"/>
                <w:sz w:val="21"/>
                <w:szCs w:val="21"/>
                <w:highlight w:val="none"/>
                <w:u w:val="single"/>
              </w:rPr>
              <w:t>3.施工用电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23026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89E0105">
            <w:pPr>
              <w:snapToGrid w:val="0"/>
              <w:jc w:val="center"/>
              <w:rPr>
                <w:color w:val="auto"/>
                <w:sz w:val="21"/>
                <w:szCs w:val="21"/>
                <w:highlight w:val="none"/>
                <w:u w:val="single"/>
              </w:rPr>
            </w:pPr>
            <w:r>
              <w:rPr>
                <w:color w:val="auto"/>
                <w:sz w:val="21"/>
                <w:szCs w:val="21"/>
                <w:highlight w:val="none"/>
                <w:u w:val="single"/>
              </w:rPr>
              <w:t>3.1</w:t>
            </w:r>
          </w:p>
        </w:tc>
        <w:tc>
          <w:tcPr>
            <w:tcW w:w="7371" w:type="dxa"/>
            <w:gridSpan w:val="2"/>
            <w:noWrap w:val="0"/>
            <w:vAlign w:val="top"/>
          </w:tcPr>
          <w:p w14:paraId="7AE0BA75">
            <w:pPr>
              <w:snapToGrid w:val="0"/>
              <w:rPr>
                <w:color w:val="auto"/>
                <w:sz w:val="21"/>
                <w:szCs w:val="21"/>
                <w:highlight w:val="none"/>
                <w:u w:val="single"/>
              </w:rPr>
            </w:pPr>
            <w:r>
              <w:rPr>
                <w:color w:val="auto"/>
                <w:sz w:val="21"/>
                <w:szCs w:val="21"/>
                <w:highlight w:val="none"/>
                <w:u w:val="single"/>
              </w:rPr>
              <w:t>施工用电未实行三相五线制，没有采用三级配电、二级漏电保护和TN-S接零保护系统</w:t>
            </w:r>
          </w:p>
        </w:tc>
        <w:tc>
          <w:tcPr>
            <w:tcW w:w="1142" w:type="dxa"/>
            <w:gridSpan w:val="2"/>
            <w:noWrap w:val="0"/>
            <w:vAlign w:val="top"/>
          </w:tcPr>
          <w:p w14:paraId="2AD8183E">
            <w:pPr>
              <w:snapToGrid w:val="0"/>
              <w:jc w:val="center"/>
              <w:rPr>
                <w:color w:val="auto"/>
                <w:sz w:val="21"/>
                <w:szCs w:val="21"/>
                <w:highlight w:val="none"/>
                <w:u w:val="single"/>
              </w:rPr>
            </w:pPr>
          </w:p>
        </w:tc>
      </w:tr>
      <w:tr w14:paraId="6AABD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9C9D474">
            <w:pPr>
              <w:snapToGrid w:val="0"/>
              <w:jc w:val="center"/>
              <w:rPr>
                <w:color w:val="auto"/>
                <w:sz w:val="21"/>
                <w:szCs w:val="21"/>
                <w:highlight w:val="none"/>
                <w:u w:val="single"/>
              </w:rPr>
            </w:pPr>
            <w:r>
              <w:rPr>
                <w:color w:val="auto"/>
                <w:sz w:val="21"/>
                <w:szCs w:val="21"/>
                <w:highlight w:val="none"/>
                <w:u w:val="single"/>
              </w:rPr>
              <w:t>3.2</w:t>
            </w:r>
          </w:p>
        </w:tc>
        <w:tc>
          <w:tcPr>
            <w:tcW w:w="7371" w:type="dxa"/>
            <w:gridSpan w:val="2"/>
            <w:noWrap w:val="0"/>
            <w:vAlign w:val="top"/>
          </w:tcPr>
          <w:p w14:paraId="5F87BEEB">
            <w:pPr>
              <w:snapToGrid w:val="0"/>
              <w:rPr>
                <w:color w:val="auto"/>
                <w:sz w:val="21"/>
                <w:szCs w:val="21"/>
                <w:highlight w:val="none"/>
                <w:u w:val="single"/>
              </w:rPr>
            </w:pPr>
            <w:r>
              <w:rPr>
                <w:color w:val="auto"/>
                <w:sz w:val="21"/>
                <w:szCs w:val="21"/>
                <w:highlight w:val="none"/>
                <w:u w:val="single"/>
              </w:rPr>
              <w:t>电气裸露部分没有采取隔离或绝缘措施，电器设备金属外壳未有接地</w:t>
            </w:r>
          </w:p>
        </w:tc>
        <w:tc>
          <w:tcPr>
            <w:tcW w:w="1142" w:type="dxa"/>
            <w:gridSpan w:val="2"/>
            <w:noWrap w:val="0"/>
            <w:vAlign w:val="top"/>
          </w:tcPr>
          <w:p w14:paraId="6917819C">
            <w:pPr>
              <w:snapToGrid w:val="0"/>
              <w:jc w:val="center"/>
              <w:rPr>
                <w:color w:val="auto"/>
                <w:sz w:val="21"/>
                <w:szCs w:val="21"/>
                <w:highlight w:val="none"/>
                <w:u w:val="single"/>
              </w:rPr>
            </w:pPr>
          </w:p>
        </w:tc>
      </w:tr>
      <w:tr w14:paraId="4AB0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2847472">
            <w:pPr>
              <w:snapToGrid w:val="0"/>
              <w:jc w:val="center"/>
              <w:rPr>
                <w:color w:val="auto"/>
                <w:sz w:val="21"/>
                <w:szCs w:val="21"/>
                <w:highlight w:val="none"/>
                <w:u w:val="single"/>
              </w:rPr>
            </w:pPr>
            <w:r>
              <w:rPr>
                <w:color w:val="auto"/>
                <w:sz w:val="21"/>
                <w:szCs w:val="21"/>
                <w:highlight w:val="none"/>
                <w:u w:val="single"/>
              </w:rPr>
              <w:t>3.3</w:t>
            </w:r>
          </w:p>
        </w:tc>
        <w:tc>
          <w:tcPr>
            <w:tcW w:w="7371" w:type="dxa"/>
            <w:gridSpan w:val="2"/>
            <w:noWrap w:val="0"/>
            <w:vAlign w:val="top"/>
          </w:tcPr>
          <w:p w14:paraId="2603E423">
            <w:pPr>
              <w:snapToGrid w:val="0"/>
              <w:rPr>
                <w:color w:val="auto"/>
                <w:sz w:val="21"/>
                <w:szCs w:val="21"/>
                <w:highlight w:val="none"/>
                <w:u w:val="single"/>
              </w:rPr>
            </w:pPr>
            <w:r>
              <w:rPr>
                <w:color w:val="auto"/>
                <w:sz w:val="21"/>
                <w:szCs w:val="21"/>
                <w:highlight w:val="none"/>
                <w:u w:val="single"/>
              </w:rPr>
              <w:t>配电箱一台开关控制多台电器设备</w:t>
            </w:r>
          </w:p>
        </w:tc>
        <w:tc>
          <w:tcPr>
            <w:tcW w:w="1142" w:type="dxa"/>
            <w:gridSpan w:val="2"/>
            <w:noWrap w:val="0"/>
            <w:vAlign w:val="top"/>
          </w:tcPr>
          <w:p w14:paraId="475A8873">
            <w:pPr>
              <w:snapToGrid w:val="0"/>
              <w:jc w:val="center"/>
              <w:rPr>
                <w:color w:val="auto"/>
                <w:sz w:val="21"/>
                <w:szCs w:val="21"/>
                <w:highlight w:val="none"/>
                <w:u w:val="single"/>
              </w:rPr>
            </w:pPr>
          </w:p>
        </w:tc>
      </w:tr>
      <w:tr w14:paraId="5582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14F233D">
            <w:pPr>
              <w:snapToGrid w:val="0"/>
              <w:jc w:val="center"/>
              <w:rPr>
                <w:color w:val="auto"/>
                <w:sz w:val="21"/>
                <w:szCs w:val="21"/>
                <w:highlight w:val="none"/>
                <w:u w:val="single"/>
              </w:rPr>
            </w:pPr>
            <w:r>
              <w:rPr>
                <w:color w:val="auto"/>
                <w:sz w:val="21"/>
                <w:szCs w:val="21"/>
                <w:highlight w:val="none"/>
                <w:u w:val="single"/>
              </w:rPr>
              <w:t>3.4</w:t>
            </w:r>
          </w:p>
        </w:tc>
        <w:tc>
          <w:tcPr>
            <w:tcW w:w="7371" w:type="dxa"/>
            <w:gridSpan w:val="2"/>
            <w:noWrap w:val="0"/>
            <w:vAlign w:val="top"/>
          </w:tcPr>
          <w:p w14:paraId="40AB2FE6">
            <w:pPr>
              <w:snapToGrid w:val="0"/>
              <w:rPr>
                <w:color w:val="auto"/>
                <w:sz w:val="21"/>
                <w:szCs w:val="21"/>
                <w:highlight w:val="none"/>
                <w:u w:val="single"/>
              </w:rPr>
            </w:pPr>
            <w:r>
              <w:rPr>
                <w:color w:val="auto"/>
                <w:sz w:val="21"/>
                <w:szCs w:val="21"/>
                <w:highlight w:val="none"/>
                <w:u w:val="single"/>
              </w:rPr>
              <w:t>配电箱、开关箱放置地点不牢固，容易被水淹、土埋，杂草没有及时清除</w:t>
            </w:r>
          </w:p>
        </w:tc>
        <w:tc>
          <w:tcPr>
            <w:tcW w:w="1142" w:type="dxa"/>
            <w:gridSpan w:val="2"/>
            <w:noWrap w:val="0"/>
            <w:vAlign w:val="top"/>
          </w:tcPr>
          <w:p w14:paraId="79780502">
            <w:pPr>
              <w:snapToGrid w:val="0"/>
              <w:jc w:val="center"/>
              <w:rPr>
                <w:color w:val="auto"/>
                <w:sz w:val="21"/>
                <w:szCs w:val="21"/>
                <w:highlight w:val="none"/>
                <w:u w:val="single"/>
              </w:rPr>
            </w:pPr>
          </w:p>
        </w:tc>
      </w:tr>
      <w:tr w14:paraId="4C837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A7CBD1">
            <w:pPr>
              <w:snapToGrid w:val="0"/>
              <w:jc w:val="center"/>
              <w:rPr>
                <w:color w:val="auto"/>
                <w:sz w:val="21"/>
                <w:szCs w:val="21"/>
                <w:highlight w:val="none"/>
                <w:u w:val="single"/>
              </w:rPr>
            </w:pPr>
            <w:r>
              <w:rPr>
                <w:color w:val="auto"/>
                <w:sz w:val="21"/>
                <w:szCs w:val="21"/>
                <w:highlight w:val="none"/>
                <w:u w:val="single"/>
              </w:rPr>
              <w:t>3.5</w:t>
            </w:r>
          </w:p>
        </w:tc>
        <w:tc>
          <w:tcPr>
            <w:tcW w:w="7371" w:type="dxa"/>
            <w:gridSpan w:val="2"/>
            <w:noWrap w:val="0"/>
            <w:vAlign w:val="top"/>
          </w:tcPr>
          <w:p w14:paraId="4E268570">
            <w:pPr>
              <w:snapToGrid w:val="0"/>
              <w:rPr>
                <w:color w:val="auto"/>
                <w:sz w:val="21"/>
                <w:szCs w:val="21"/>
                <w:highlight w:val="none"/>
                <w:u w:val="single"/>
              </w:rPr>
            </w:pPr>
            <w:r>
              <w:rPr>
                <w:color w:val="auto"/>
                <w:sz w:val="21"/>
                <w:szCs w:val="21"/>
                <w:highlight w:val="none"/>
                <w:u w:val="single"/>
              </w:rPr>
              <w:t>电缆截面不能满足用电负荷要求，导致电缆发热或绝缘破损的</w:t>
            </w:r>
          </w:p>
        </w:tc>
        <w:tc>
          <w:tcPr>
            <w:tcW w:w="1142" w:type="dxa"/>
            <w:gridSpan w:val="2"/>
            <w:noWrap w:val="0"/>
            <w:vAlign w:val="top"/>
          </w:tcPr>
          <w:p w14:paraId="0C8F2F2A">
            <w:pPr>
              <w:snapToGrid w:val="0"/>
              <w:jc w:val="center"/>
              <w:rPr>
                <w:color w:val="auto"/>
                <w:sz w:val="21"/>
                <w:szCs w:val="21"/>
                <w:highlight w:val="none"/>
                <w:u w:val="single"/>
              </w:rPr>
            </w:pPr>
          </w:p>
        </w:tc>
      </w:tr>
      <w:tr w14:paraId="29759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414789">
            <w:pPr>
              <w:snapToGrid w:val="0"/>
              <w:jc w:val="center"/>
              <w:rPr>
                <w:color w:val="auto"/>
                <w:sz w:val="21"/>
                <w:szCs w:val="21"/>
                <w:highlight w:val="none"/>
                <w:u w:val="single"/>
              </w:rPr>
            </w:pPr>
            <w:r>
              <w:rPr>
                <w:color w:val="auto"/>
                <w:sz w:val="21"/>
                <w:szCs w:val="21"/>
                <w:highlight w:val="none"/>
                <w:u w:val="single"/>
              </w:rPr>
              <w:t>3.6</w:t>
            </w:r>
          </w:p>
        </w:tc>
        <w:tc>
          <w:tcPr>
            <w:tcW w:w="7371" w:type="dxa"/>
            <w:gridSpan w:val="2"/>
            <w:noWrap w:val="0"/>
            <w:vAlign w:val="top"/>
          </w:tcPr>
          <w:p w14:paraId="4A766FCE">
            <w:pPr>
              <w:snapToGrid w:val="0"/>
              <w:rPr>
                <w:color w:val="auto"/>
                <w:sz w:val="21"/>
                <w:szCs w:val="21"/>
                <w:highlight w:val="none"/>
                <w:u w:val="single"/>
              </w:rPr>
            </w:pPr>
            <w:r>
              <w:rPr>
                <w:color w:val="auto"/>
                <w:sz w:val="21"/>
                <w:szCs w:val="21"/>
                <w:highlight w:val="none"/>
                <w:u w:val="single"/>
              </w:rPr>
              <w:t>电缆埋地、设架空敷设距离、深度不足，通过道路未有保护措施，埋地电缆未有标识</w:t>
            </w:r>
          </w:p>
        </w:tc>
        <w:tc>
          <w:tcPr>
            <w:tcW w:w="1142" w:type="dxa"/>
            <w:gridSpan w:val="2"/>
            <w:noWrap w:val="0"/>
            <w:vAlign w:val="top"/>
          </w:tcPr>
          <w:p w14:paraId="7C371E99">
            <w:pPr>
              <w:snapToGrid w:val="0"/>
              <w:jc w:val="center"/>
              <w:rPr>
                <w:color w:val="auto"/>
                <w:sz w:val="21"/>
                <w:szCs w:val="21"/>
                <w:highlight w:val="none"/>
                <w:u w:val="single"/>
              </w:rPr>
            </w:pPr>
          </w:p>
        </w:tc>
      </w:tr>
      <w:tr w14:paraId="6B5C5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9431420">
            <w:pPr>
              <w:snapToGrid w:val="0"/>
              <w:jc w:val="center"/>
              <w:rPr>
                <w:color w:val="auto"/>
                <w:sz w:val="21"/>
                <w:szCs w:val="21"/>
                <w:highlight w:val="none"/>
                <w:u w:val="single"/>
              </w:rPr>
            </w:pPr>
            <w:r>
              <w:rPr>
                <w:color w:val="auto"/>
                <w:sz w:val="21"/>
                <w:szCs w:val="21"/>
                <w:highlight w:val="none"/>
                <w:u w:val="single"/>
              </w:rPr>
              <w:t>3.7</w:t>
            </w:r>
          </w:p>
        </w:tc>
        <w:tc>
          <w:tcPr>
            <w:tcW w:w="7371" w:type="dxa"/>
            <w:gridSpan w:val="2"/>
            <w:noWrap w:val="0"/>
            <w:vAlign w:val="top"/>
          </w:tcPr>
          <w:p w14:paraId="3F7E992E">
            <w:pPr>
              <w:snapToGrid w:val="0"/>
              <w:rPr>
                <w:color w:val="auto"/>
                <w:sz w:val="21"/>
                <w:szCs w:val="21"/>
                <w:highlight w:val="none"/>
                <w:u w:val="single"/>
              </w:rPr>
            </w:pPr>
            <w:r>
              <w:rPr>
                <w:color w:val="auto"/>
                <w:sz w:val="21"/>
                <w:szCs w:val="21"/>
                <w:highlight w:val="none"/>
                <w:u w:val="single"/>
              </w:rPr>
              <w:t>配电室没有配置消防措施</w:t>
            </w:r>
          </w:p>
        </w:tc>
        <w:tc>
          <w:tcPr>
            <w:tcW w:w="1142" w:type="dxa"/>
            <w:gridSpan w:val="2"/>
            <w:noWrap w:val="0"/>
            <w:vAlign w:val="top"/>
          </w:tcPr>
          <w:p w14:paraId="47FF1E5E">
            <w:pPr>
              <w:snapToGrid w:val="0"/>
              <w:jc w:val="center"/>
              <w:rPr>
                <w:color w:val="auto"/>
                <w:sz w:val="21"/>
                <w:szCs w:val="21"/>
                <w:highlight w:val="none"/>
                <w:u w:val="single"/>
              </w:rPr>
            </w:pPr>
          </w:p>
        </w:tc>
      </w:tr>
      <w:tr w14:paraId="6E5EE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7E20A6B">
            <w:pPr>
              <w:snapToGrid w:val="0"/>
              <w:jc w:val="center"/>
              <w:rPr>
                <w:color w:val="auto"/>
                <w:sz w:val="21"/>
                <w:szCs w:val="21"/>
                <w:highlight w:val="none"/>
                <w:u w:val="single"/>
              </w:rPr>
            </w:pPr>
            <w:r>
              <w:rPr>
                <w:color w:val="auto"/>
                <w:sz w:val="21"/>
                <w:szCs w:val="21"/>
                <w:highlight w:val="none"/>
                <w:u w:val="single"/>
              </w:rPr>
              <w:t>3.8</w:t>
            </w:r>
          </w:p>
        </w:tc>
        <w:tc>
          <w:tcPr>
            <w:tcW w:w="7371" w:type="dxa"/>
            <w:gridSpan w:val="2"/>
            <w:noWrap w:val="0"/>
            <w:vAlign w:val="top"/>
          </w:tcPr>
          <w:p w14:paraId="1902EC1F">
            <w:pPr>
              <w:snapToGrid w:val="0"/>
              <w:rPr>
                <w:color w:val="auto"/>
                <w:sz w:val="21"/>
                <w:szCs w:val="21"/>
                <w:highlight w:val="none"/>
                <w:u w:val="single"/>
              </w:rPr>
            </w:pPr>
            <w:r>
              <w:rPr>
                <w:color w:val="auto"/>
                <w:sz w:val="21"/>
                <w:szCs w:val="21"/>
                <w:highlight w:val="none"/>
                <w:u w:val="single"/>
              </w:rPr>
              <w:t>施工电源维修时未采取断电、上锁、设置警示牌、监护等措施</w:t>
            </w:r>
          </w:p>
        </w:tc>
        <w:tc>
          <w:tcPr>
            <w:tcW w:w="1142" w:type="dxa"/>
            <w:gridSpan w:val="2"/>
            <w:noWrap w:val="0"/>
            <w:vAlign w:val="top"/>
          </w:tcPr>
          <w:p w14:paraId="4B500517">
            <w:pPr>
              <w:snapToGrid w:val="0"/>
              <w:jc w:val="center"/>
              <w:rPr>
                <w:color w:val="auto"/>
                <w:sz w:val="21"/>
                <w:szCs w:val="21"/>
                <w:highlight w:val="none"/>
                <w:u w:val="single"/>
              </w:rPr>
            </w:pPr>
          </w:p>
        </w:tc>
      </w:tr>
      <w:tr w14:paraId="3BB5D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A076C52">
            <w:pPr>
              <w:snapToGrid w:val="0"/>
              <w:jc w:val="center"/>
              <w:rPr>
                <w:color w:val="auto"/>
                <w:sz w:val="21"/>
                <w:szCs w:val="21"/>
                <w:highlight w:val="none"/>
                <w:u w:val="single"/>
              </w:rPr>
            </w:pPr>
            <w:r>
              <w:rPr>
                <w:color w:val="auto"/>
                <w:sz w:val="21"/>
                <w:szCs w:val="21"/>
                <w:highlight w:val="none"/>
                <w:u w:val="single"/>
              </w:rPr>
              <w:t>3.9</w:t>
            </w:r>
          </w:p>
        </w:tc>
        <w:tc>
          <w:tcPr>
            <w:tcW w:w="7371" w:type="dxa"/>
            <w:gridSpan w:val="2"/>
            <w:noWrap w:val="0"/>
            <w:vAlign w:val="top"/>
          </w:tcPr>
          <w:p w14:paraId="29C43DBA">
            <w:pPr>
              <w:snapToGrid w:val="0"/>
              <w:rPr>
                <w:color w:val="auto"/>
                <w:sz w:val="21"/>
                <w:szCs w:val="21"/>
                <w:highlight w:val="none"/>
                <w:u w:val="single"/>
              </w:rPr>
            </w:pPr>
            <w:r>
              <w:rPr>
                <w:color w:val="auto"/>
                <w:sz w:val="21"/>
                <w:szCs w:val="21"/>
                <w:highlight w:val="none"/>
                <w:u w:val="single"/>
              </w:rPr>
              <w:t>不按规定乱拉乱接电源，将电源线直接插入插座或勾挂闸刀上</w:t>
            </w:r>
          </w:p>
        </w:tc>
        <w:tc>
          <w:tcPr>
            <w:tcW w:w="1142" w:type="dxa"/>
            <w:gridSpan w:val="2"/>
            <w:noWrap w:val="0"/>
            <w:vAlign w:val="top"/>
          </w:tcPr>
          <w:p w14:paraId="66981EBD">
            <w:pPr>
              <w:snapToGrid w:val="0"/>
              <w:jc w:val="center"/>
              <w:rPr>
                <w:color w:val="auto"/>
                <w:sz w:val="21"/>
                <w:szCs w:val="21"/>
                <w:highlight w:val="none"/>
                <w:u w:val="single"/>
              </w:rPr>
            </w:pPr>
          </w:p>
        </w:tc>
      </w:tr>
      <w:tr w14:paraId="3064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6618810">
            <w:pPr>
              <w:snapToGrid w:val="0"/>
              <w:jc w:val="center"/>
              <w:rPr>
                <w:color w:val="auto"/>
                <w:sz w:val="21"/>
                <w:szCs w:val="21"/>
                <w:highlight w:val="none"/>
                <w:u w:val="single"/>
              </w:rPr>
            </w:pPr>
            <w:r>
              <w:rPr>
                <w:color w:val="auto"/>
                <w:sz w:val="21"/>
                <w:szCs w:val="21"/>
                <w:highlight w:val="none"/>
                <w:u w:val="single"/>
              </w:rPr>
              <w:t>3.10</w:t>
            </w:r>
          </w:p>
        </w:tc>
        <w:tc>
          <w:tcPr>
            <w:tcW w:w="7371" w:type="dxa"/>
            <w:gridSpan w:val="2"/>
            <w:noWrap w:val="0"/>
            <w:vAlign w:val="top"/>
          </w:tcPr>
          <w:p w14:paraId="441B9653">
            <w:pPr>
              <w:snapToGrid w:val="0"/>
              <w:rPr>
                <w:color w:val="auto"/>
                <w:sz w:val="21"/>
                <w:szCs w:val="21"/>
                <w:highlight w:val="none"/>
                <w:u w:val="single"/>
              </w:rPr>
            </w:pPr>
            <w:r>
              <w:rPr>
                <w:color w:val="auto"/>
                <w:sz w:val="21"/>
                <w:szCs w:val="21"/>
                <w:highlight w:val="none"/>
                <w:u w:val="single"/>
              </w:rPr>
              <w:t>电气线路、电气设备连接采用缠绕方式</w:t>
            </w:r>
          </w:p>
        </w:tc>
        <w:tc>
          <w:tcPr>
            <w:tcW w:w="1142" w:type="dxa"/>
            <w:gridSpan w:val="2"/>
            <w:noWrap w:val="0"/>
            <w:vAlign w:val="top"/>
          </w:tcPr>
          <w:p w14:paraId="05ECCF6F">
            <w:pPr>
              <w:snapToGrid w:val="0"/>
              <w:jc w:val="center"/>
              <w:rPr>
                <w:color w:val="auto"/>
                <w:sz w:val="21"/>
                <w:szCs w:val="21"/>
                <w:highlight w:val="none"/>
                <w:u w:val="single"/>
              </w:rPr>
            </w:pPr>
          </w:p>
        </w:tc>
      </w:tr>
      <w:tr w14:paraId="07FC9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D6FE7B7">
            <w:pPr>
              <w:snapToGrid w:val="0"/>
              <w:jc w:val="center"/>
              <w:rPr>
                <w:color w:val="auto"/>
                <w:sz w:val="21"/>
                <w:szCs w:val="21"/>
                <w:highlight w:val="none"/>
                <w:u w:val="single"/>
              </w:rPr>
            </w:pPr>
            <w:r>
              <w:rPr>
                <w:color w:val="auto"/>
                <w:sz w:val="21"/>
                <w:szCs w:val="21"/>
                <w:highlight w:val="none"/>
                <w:u w:val="single"/>
              </w:rPr>
              <w:t>3.11</w:t>
            </w:r>
          </w:p>
        </w:tc>
        <w:tc>
          <w:tcPr>
            <w:tcW w:w="7371" w:type="dxa"/>
            <w:gridSpan w:val="2"/>
            <w:noWrap w:val="0"/>
            <w:vAlign w:val="top"/>
          </w:tcPr>
          <w:p w14:paraId="7D0C5FD1">
            <w:pPr>
              <w:snapToGrid w:val="0"/>
              <w:rPr>
                <w:color w:val="auto"/>
                <w:sz w:val="21"/>
                <w:szCs w:val="21"/>
                <w:highlight w:val="none"/>
                <w:u w:val="single"/>
              </w:rPr>
            </w:pPr>
            <w:r>
              <w:rPr>
                <w:color w:val="auto"/>
                <w:sz w:val="21"/>
                <w:szCs w:val="21"/>
                <w:highlight w:val="none"/>
                <w:u w:val="single"/>
              </w:rPr>
              <w:t>移动照明灯具没有按照使用场所要求采用安全电压</w:t>
            </w:r>
          </w:p>
        </w:tc>
        <w:tc>
          <w:tcPr>
            <w:tcW w:w="1142" w:type="dxa"/>
            <w:gridSpan w:val="2"/>
            <w:noWrap w:val="0"/>
            <w:vAlign w:val="top"/>
          </w:tcPr>
          <w:p w14:paraId="3D4EF6BF">
            <w:pPr>
              <w:snapToGrid w:val="0"/>
              <w:jc w:val="center"/>
              <w:rPr>
                <w:color w:val="auto"/>
                <w:sz w:val="21"/>
                <w:szCs w:val="21"/>
                <w:highlight w:val="none"/>
                <w:u w:val="single"/>
              </w:rPr>
            </w:pPr>
          </w:p>
        </w:tc>
      </w:tr>
      <w:tr w14:paraId="7B6A1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2E13502">
            <w:pPr>
              <w:snapToGrid w:val="0"/>
              <w:jc w:val="center"/>
              <w:rPr>
                <w:color w:val="auto"/>
                <w:sz w:val="21"/>
                <w:szCs w:val="21"/>
                <w:highlight w:val="none"/>
                <w:u w:val="single"/>
              </w:rPr>
            </w:pPr>
            <w:r>
              <w:rPr>
                <w:color w:val="auto"/>
                <w:sz w:val="21"/>
                <w:szCs w:val="21"/>
                <w:highlight w:val="none"/>
                <w:u w:val="single"/>
              </w:rPr>
              <w:t>3.12</w:t>
            </w:r>
          </w:p>
        </w:tc>
        <w:tc>
          <w:tcPr>
            <w:tcW w:w="7371" w:type="dxa"/>
            <w:gridSpan w:val="2"/>
            <w:noWrap w:val="0"/>
            <w:vAlign w:val="top"/>
          </w:tcPr>
          <w:p w14:paraId="3265D2EC">
            <w:pPr>
              <w:snapToGrid w:val="0"/>
              <w:rPr>
                <w:color w:val="auto"/>
                <w:sz w:val="21"/>
                <w:szCs w:val="21"/>
                <w:highlight w:val="none"/>
                <w:u w:val="single"/>
              </w:rPr>
            </w:pPr>
            <w:r>
              <w:rPr>
                <w:color w:val="auto"/>
                <w:sz w:val="21"/>
                <w:szCs w:val="21"/>
                <w:highlight w:val="none"/>
                <w:u w:val="single"/>
              </w:rPr>
              <w:t>露天电气装置未做好防雨措施的</w:t>
            </w:r>
          </w:p>
        </w:tc>
        <w:tc>
          <w:tcPr>
            <w:tcW w:w="1142" w:type="dxa"/>
            <w:gridSpan w:val="2"/>
            <w:noWrap w:val="0"/>
            <w:vAlign w:val="top"/>
          </w:tcPr>
          <w:p w14:paraId="046CAC71">
            <w:pPr>
              <w:snapToGrid w:val="0"/>
              <w:jc w:val="center"/>
              <w:rPr>
                <w:color w:val="auto"/>
                <w:sz w:val="21"/>
                <w:szCs w:val="21"/>
                <w:highlight w:val="none"/>
                <w:u w:val="single"/>
              </w:rPr>
            </w:pPr>
          </w:p>
        </w:tc>
      </w:tr>
      <w:tr w14:paraId="3EC2F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482DFC1">
            <w:pPr>
              <w:snapToGrid w:val="0"/>
              <w:jc w:val="center"/>
              <w:rPr>
                <w:color w:val="auto"/>
                <w:sz w:val="21"/>
                <w:szCs w:val="21"/>
                <w:highlight w:val="none"/>
                <w:u w:val="single"/>
              </w:rPr>
            </w:pPr>
            <w:r>
              <w:rPr>
                <w:color w:val="auto"/>
                <w:sz w:val="21"/>
                <w:szCs w:val="21"/>
                <w:highlight w:val="none"/>
                <w:u w:val="single"/>
              </w:rPr>
              <w:t>3.13</w:t>
            </w:r>
          </w:p>
        </w:tc>
        <w:tc>
          <w:tcPr>
            <w:tcW w:w="7371" w:type="dxa"/>
            <w:gridSpan w:val="2"/>
            <w:noWrap w:val="0"/>
            <w:vAlign w:val="top"/>
          </w:tcPr>
          <w:p w14:paraId="1D236F29">
            <w:pPr>
              <w:snapToGrid w:val="0"/>
              <w:rPr>
                <w:color w:val="auto"/>
                <w:sz w:val="21"/>
                <w:szCs w:val="21"/>
                <w:highlight w:val="none"/>
                <w:u w:val="single"/>
              </w:rPr>
            </w:pPr>
            <w:r>
              <w:rPr>
                <w:color w:val="auto"/>
                <w:sz w:val="21"/>
                <w:szCs w:val="21"/>
                <w:highlight w:val="none"/>
                <w:u w:val="single"/>
              </w:rPr>
              <w:t>未按规范要求装配电器设备</w:t>
            </w:r>
          </w:p>
        </w:tc>
        <w:tc>
          <w:tcPr>
            <w:tcW w:w="1142" w:type="dxa"/>
            <w:gridSpan w:val="2"/>
            <w:noWrap w:val="0"/>
            <w:vAlign w:val="top"/>
          </w:tcPr>
          <w:p w14:paraId="39FCE37D">
            <w:pPr>
              <w:snapToGrid w:val="0"/>
              <w:jc w:val="center"/>
              <w:rPr>
                <w:color w:val="auto"/>
                <w:sz w:val="21"/>
                <w:szCs w:val="21"/>
                <w:highlight w:val="none"/>
                <w:u w:val="single"/>
              </w:rPr>
            </w:pPr>
          </w:p>
        </w:tc>
      </w:tr>
      <w:tr w14:paraId="74B1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9200" w:type="dxa"/>
            <w:gridSpan w:val="5"/>
            <w:noWrap w:val="0"/>
            <w:vAlign w:val="top"/>
          </w:tcPr>
          <w:p w14:paraId="7B322B72">
            <w:pPr>
              <w:snapToGrid w:val="0"/>
              <w:rPr>
                <w:color w:val="auto"/>
                <w:sz w:val="21"/>
                <w:szCs w:val="21"/>
                <w:highlight w:val="none"/>
                <w:u w:val="single"/>
              </w:rPr>
            </w:pPr>
            <w:r>
              <w:rPr>
                <w:color w:val="auto"/>
                <w:sz w:val="21"/>
                <w:szCs w:val="21"/>
                <w:highlight w:val="none"/>
                <w:u w:val="single"/>
              </w:rPr>
              <w:t>4.脚手架与模板支撑系统  违反下列行为的给予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w:t>
            </w:r>
            <w:r>
              <w:rPr>
                <w:color w:val="auto"/>
                <w:sz w:val="21"/>
                <w:szCs w:val="21"/>
                <w:highlight w:val="none"/>
                <w:u w:val="single"/>
              </w:rPr>
              <w:t>000元处罚</w:t>
            </w:r>
          </w:p>
        </w:tc>
      </w:tr>
      <w:tr w14:paraId="482AC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ADEA768">
            <w:pPr>
              <w:snapToGrid w:val="0"/>
              <w:jc w:val="center"/>
              <w:rPr>
                <w:color w:val="auto"/>
                <w:sz w:val="21"/>
                <w:szCs w:val="21"/>
                <w:highlight w:val="none"/>
                <w:u w:val="single"/>
              </w:rPr>
            </w:pPr>
            <w:r>
              <w:rPr>
                <w:color w:val="auto"/>
                <w:sz w:val="21"/>
                <w:szCs w:val="21"/>
                <w:highlight w:val="none"/>
                <w:u w:val="single"/>
              </w:rPr>
              <w:t>4.1</w:t>
            </w:r>
          </w:p>
        </w:tc>
        <w:tc>
          <w:tcPr>
            <w:tcW w:w="7371" w:type="dxa"/>
            <w:gridSpan w:val="2"/>
            <w:noWrap w:val="0"/>
            <w:vAlign w:val="top"/>
          </w:tcPr>
          <w:p w14:paraId="0860B177">
            <w:pPr>
              <w:snapToGrid w:val="0"/>
              <w:rPr>
                <w:color w:val="auto"/>
                <w:sz w:val="21"/>
                <w:szCs w:val="21"/>
                <w:highlight w:val="none"/>
                <w:u w:val="single"/>
              </w:rPr>
            </w:pPr>
            <w:r>
              <w:rPr>
                <w:color w:val="auto"/>
                <w:sz w:val="21"/>
                <w:szCs w:val="21"/>
                <w:highlight w:val="none"/>
                <w:u w:val="single"/>
              </w:rPr>
              <w:t>钢管、扣件、竹排、铁丝等材料不符合要求，进入现场未经检查或试验</w:t>
            </w:r>
          </w:p>
        </w:tc>
        <w:tc>
          <w:tcPr>
            <w:tcW w:w="1142" w:type="dxa"/>
            <w:gridSpan w:val="2"/>
            <w:noWrap w:val="0"/>
            <w:vAlign w:val="top"/>
          </w:tcPr>
          <w:p w14:paraId="079B57E7">
            <w:pPr>
              <w:snapToGrid w:val="0"/>
              <w:jc w:val="center"/>
              <w:rPr>
                <w:color w:val="auto"/>
                <w:sz w:val="21"/>
                <w:szCs w:val="21"/>
                <w:highlight w:val="none"/>
                <w:u w:val="single"/>
              </w:rPr>
            </w:pPr>
          </w:p>
        </w:tc>
      </w:tr>
      <w:tr w14:paraId="155E2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175E621">
            <w:pPr>
              <w:snapToGrid w:val="0"/>
              <w:jc w:val="center"/>
              <w:rPr>
                <w:color w:val="auto"/>
                <w:sz w:val="21"/>
                <w:szCs w:val="21"/>
                <w:highlight w:val="none"/>
                <w:u w:val="single"/>
              </w:rPr>
            </w:pPr>
            <w:r>
              <w:rPr>
                <w:color w:val="auto"/>
                <w:sz w:val="21"/>
                <w:szCs w:val="21"/>
                <w:highlight w:val="none"/>
                <w:u w:val="single"/>
              </w:rPr>
              <w:t>4.2</w:t>
            </w:r>
          </w:p>
        </w:tc>
        <w:tc>
          <w:tcPr>
            <w:tcW w:w="7371" w:type="dxa"/>
            <w:gridSpan w:val="2"/>
            <w:noWrap w:val="0"/>
            <w:vAlign w:val="top"/>
          </w:tcPr>
          <w:p w14:paraId="03E2528F">
            <w:pPr>
              <w:snapToGrid w:val="0"/>
              <w:rPr>
                <w:color w:val="auto"/>
                <w:sz w:val="21"/>
                <w:szCs w:val="21"/>
                <w:highlight w:val="none"/>
                <w:u w:val="single"/>
              </w:rPr>
            </w:pPr>
            <w:r>
              <w:rPr>
                <w:color w:val="auto"/>
                <w:sz w:val="21"/>
                <w:szCs w:val="21"/>
                <w:highlight w:val="none"/>
                <w:u w:val="single"/>
              </w:rPr>
              <w:t>钢管立柱底部不牢固，未按规定设置扫地杆</w:t>
            </w:r>
          </w:p>
        </w:tc>
        <w:tc>
          <w:tcPr>
            <w:tcW w:w="1142" w:type="dxa"/>
            <w:gridSpan w:val="2"/>
            <w:noWrap w:val="0"/>
            <w:vAlign w:val="top"/>
          </w:tcPr>
          <w:p w14:paraId="6B1A7AE5">
            <w:pPr>
              <w:snapToGrid w:val="0"/>
              <w:jc w:val="center"/>
              <w:rPr>
                <w:color w:val="auto"/>
                <w:sz w:val="21"/>
                <w:szCs w:val="21"/>
                <w:highlight w:val="none"/>
                <w:u w:val="single"/>
              </w:rPr>
            </w:pPr>
          </w:p>
        </w:tc>
      </w:tr>
      <w:tr w14:paraId="47C3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75CDB49">
            <w:pPr>
              <w:snapToGrid w:val="0"/>
              <w:jc w:val="center"/>
              <w:rPr>
                <w:color w:val="auto"/>
                <w:sz w:val="21"/>
                <w:szCs w:val="21"/>
                <w:highlight w:val="none"/>
                <w:u w:val="single"/>
              </w:rPr>
            </w:pPr>
            <w:r>
              <w:rPr>
                <w:color w:val="auto"/>
                <w:sz w:val="21"/>
                <w:szCs w:val="21"/>
                <w:highlight w:val="none"/>
                <w:u w:val="single"/>
              </w:rPr>
              <w:t>4.3</w:t>
            </w:r>
          </w:p>
        </w:tc>
        <w:tc>
          <w:tcPr>
            <w:tcW w:w="7371" w:type="dxa"/>
            <w:gridSpan w:val="2"/>
            <w:noWrap w:val="0"/>
            <w:vAlign w:val="top"/>
          </w:tcPr>
          <w:p w14:paraId="1E91EC59">
            <w:pPr>
              <w:snapToGrid w:val="0"/>
              <w:rPr>
                <w:color w:val="auto"/>
                <w:sz w:val="21"/>
                <w:szCs w:val="21"/>
                <w:highlight w:val="none"/>
                <w:u w:val="single"/>
              </w:rPr>
            </w:pPr>
            <w:r>
              <w:rPr>
                <w:color w:val="auto"/>
                <w:sz w:val="21"/>
                <w:szCs w:val="21"/>
                <w:highlight w:val="none"/>
                <w:u w:val="single"/>
              </w:rPr>
              <w:t>脚手架立柱、横杆、连墙件间距过大，未按规定设置剪刀撑或支杆（抛撑）</w:t>
            </w:r>
          </w:p>
        </w:tc>
        <w:tc>
          <w:tcPr>
            <w:tcW w:w="1142" w:type="dxa"/>
            <w:gridSpan w:val="2"/>
            <w:noWrap w:val="0"/>
            <w:vAlign w:val="top"/>
          </w:tcPr>
          <w:p w14:paraId="4356276A">
            <w:pPr>
              <w:snapToGrid w:val="0"/>
              <w:jc w:val="center"/>
              <w:rPr>
                <w:color w:val="auto"/>
                <w:sz w:val="21"/>
                <w:szCs w:val="21"/>
                <w:highlight w:val="none"/>
                <w:u w:val="single"/>
              </w:rPr>
            </w:pPr>
          </w:p>
        </w:tc>
      </w:tr>
      <w:tr w14:paraId="3E62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0F56DBD">
            <w:pPr>
              <w:snapToGrid w:val="0"/>
              <w:jc w:val="center"/>
              <w:rPr>
                <w:color w:val="auto"/>
                <w:sz w:val="21"/>
                <w:szCs w:val="21"/>
                <w:highlight w:val="none"/>
                <w:u w:val="single"/>
              </w:rPr>
            </w:pPr>
            <w:r>
              <w:rPr>
                <w:color w:val="auto"/>
                <w:sz w:val="21"/>
                <w:szCs w:val="21"/>
                <w:highlight w:val="none"/>
                <w:u w:val="single"/>
              </w:rPr>
              <w:t>4.4</w:t>
            </w:r>
          </w:p>
        </w:tc>
        <w:tc>
          <w:tcPr>
            <w:tcW w:w="7371" w:type="dxa"/>
            <w:gridSpan w:val="2"/>
            <w:noWrap w:val="0"/>
            <w:vAlign w:val="top"/>
          </w:tcPr>
          <w:p w14:paraId="35ABCF40">
            <w:pPr>
              <w:snapToGrid w:val="0"/>
              <w:rPr>
                <w:color w:val="auto"/>
                <w:sz w:val="21"/>
                <w:szCs w:val="21"/>
                <w:highlight w:val="none"/>
                <w:u w:val="single"/>
              </w:rPr>
            </w:pPr>
            <w:r>
              <w:rPr>
                <w:color w:val="auto"/>
                <w:sz w:val="21"/>
                <w:szCs w:val="21"/>
                <w:highlight w:val="none"/>
                <w:u w:val="single"/>
              </w:rPr>
              <w:t>脚手板未满铺或者存在空隙、探头板，脚手板未绑扎或压扣</w:t>
            </w:r>
          </w:p>
        </w:tc>
        <w:tc>
          <w:tcPr>
            <w:tcW w:w="1142" w:type="dxa"/>
            <w:gridSpan w:val="2"/>
            <w:noWrap w:val="0"/>
            <w:vAlign w:val="top"/>
          </w:tcPr>
          <w:p w14:paraId="5C14BEB6">
            <w:pPr>
              <w:snapToGrid w:val="0"/>
              <w:jc w:val="center"/>
              <w:rPr>
                <w:color w:val="auto"/>
                <w:sz w:val="21"/>
                <w:szCs w:val="21"/>
                <w:highlight w:val="none"/>
                <w:u w:val="single"/>
              </w:rPr>
            </w:pPr>
          </w:p>
        </w:tc>
      </w:tr>
      <w:tr w14:paraId="13CF8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2C81454">
            <w:pPr>
              <w:snapToGrid w:val="0"/>
              <w:jc w:val="center"/>
              <w:rPr>
                <w:color w:val="auto"/>
                <w:sz w:val="21"/>
                <w:szCs w:val="21"/>
                <w:highlight w:val="none"/>
                <w:u w:val="single"/>
              </w:rPr>
            </w:pPr>
            <w:r>
              <w:rPr>
                <w:color w:val="auto"/>
                <w:sz w:val="21"/>
                <w:szCs w:val="21"/>
                <w:highlight w:val="none"/>
                <w:u w:val="single"/>
              </w:rPr>
              <w:t>4.5</w:t>
            </w:r>
          </w:p>
        </w:tc>
        <w:tc>
          <w:tcPr>
            <w:tcW w:w="7371" w:type="dxa"/>
            <w:gridSpan w:val="2"/>
            <w:noWrap w:val="0"/>
            <w:vAlign w:val="top"/>
          </w:tcPr>
          <w:p w14:paraId="66D3415F">
            <w:pPr>
              <w:snapToGrid w:val="0"/>
              <w:rPr>
                <w:color w:val="auto"/>
                <w:sz w:val="21"/>
                <w:szCs w:val="21"/>
                <w:highlight w:val="none"/>
                <w:u w:val="single"/>
              </w:rPr>
            </w:pPr>
            <w:r>
              <w:rPr>
                <w:color w:val="auto"/>
                <w:sz w:val="21"/>
                <w:szCs w:val="21"/>
                <w:highlight w:val="none"/>
                <w:u w:val="single"/>
              </w:rPr>
              <w:t>脚手架或模板支撑系统在搭设过程中未按规定布置安全网</w:t>
            </w:r>
          </w:p>
        </w:tc>
        <w:tc>
          <w:tcPr>
            <w:tcW w:w="1142" w:type="dxa"/>
            <w:gridSpan w:val="2"/>
            <w:noWrap w:val="0"/>
            <w:vAlign w:val="top"/>
          </w:tcPr>
          <w:p w14:paraId="7A2B2EF8">
            <w:pPr>
              <w:snapToGrid w:val="0"/>
              <w:jc w:val="center"/>
              <w:rPr>
                <w:color w:val="auto"/>
                <w:sz w:val="21"/>
                <w:szCs w:val="21"/>
                <w:highlight w:val="none"/>
                <w:u w:val="single"/>
              </w:rPr>
            </w:pPr>
          </w:p>
        </w:tc>
      </w:tr>
      <w:tr w14:paraId="71AA4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30BB901">
            <w:pPr>
              <w:snapToGrid w:val="0"/>
              <w:jc w:val="center"/>
              <w:rPr>
                <w:color w:val="auto"/>
                <w:sz w:val="21"/>
                <w:szCs w:val="21"/>
                <w:highlight w:val="none"/>
                <w:u w:val="single"/>
              </w:rPr>
            </w:pPr>
            <w:r>
              <w:rPr>
                <w:color w:val="auto"/>
                <w:sz w:val="21"/>
                <w:szCs w:val="21"/>
                <w:highlight w:val="none"/>
                <w:u w:val="single"/>
              </w:rPr>
              <w:t>4.6</w:t>
            </w:r>
          </w:p>
        </w:tc>
        <w:tc>
          <w:tcPr>
            <w:tcW w:w="7371" w:type="dxa"/>
            <w:gridSpan w:val="2"/>
            <w:noWrap w:val="0"/>
            <w:vAlign w:val="top"/>
          </w:tcPr>
          <w:p w14:paraId="16B112CF">
            <w:pPr>
              <w:snapToGrid w:val="0"/>
              <w:rPr>
                <w:color w:val="auto"/>
                <w:sz w:val="21"/>
                <w:szCs w:val="21"/>
                <w:highlight w:val="none"/>
                <w:u w:val="single"/>
              </w:rPr>
            </w:pPr>
            <w:r>
              <w:rPr>
                <w:color w:val="auto"/>
                <w:sz w:val="21"/>
                <w:szCs w:val="21"/>
                <w:highlight w:val="none"/>
                <w:u w:val="single"/>
              </w:rPr>
              <w:t>脚手架拆除顺序违反安全规定，上下同时拆除脚手架，采取整体推倒方式拆除脚手架</w:t>
            </w:r>
          </w:p>
        </w:tc>
        <w:tc>
          <w:tcPr>
            <w:tcW w:w="1142" w:type="dxa"/>
            <w:gridSpan w:val="2"/>
            <w:noWrap w:val="0"/>
            <w:vAlign w:val="top"/>
          </w:tcPr>
          <w:p w14:paraId="2196E1CA">
            <w:pPr>
              <w:snapToGrid w:val="0"/>
              <w:jc w:val="center"/>
              <w:rPr>
                <w:color w:val="auto"/>
                <w:sz w:val="21"/>
                <w:szCs w:val="21"/>
                <w:highlight w:val="none"/>
                <w:u w:val="single"/>
              </w:rPr>
            </w:pPr>
          </w:p>
        </w:tc>
      </w:tr>
      <w:tr w14:paraId="01FDB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F615157">
            <w:pPr>
              <w:snapToGrid w:val="0"/>
              <w:jc w:val="center"/>
              <w:rPr>
                <w:color w:val="auto"/>
                <w:sz w:val="21"/>
                <w:szCs w:val="21"/>
                <w:highlight w:val="none"/>
                <w:u w:val="single"/>
              </w:rPr>
            </w:pPr>
            <w:r>
              <w:rPr>
                <w:color w:val="auto"/>
                <w:sz w:val="21"/>
                <w:szCs w:val="21"/>
                <w:highlight w:val="none"/>
                <w:u w:val="single"/>
              </w:rPr>
              <w:t>4.7</w:t>
            </w:r>
          </w:p>
        </w:tc>
        <w:tc>
          <w:tcPr>
            <w:tcW w:w="7371" w:type="dxa"/>
            <w:gridSpan w:val="2"/>
            <w:noWrap w:val="0"/>
            <w:vAlign w:val="top"/>
          </w:tcPr>
          <w:p w14:paraId="4F893AD3">
            <w:pPr>
              <w:snapToGrid w:val="0"/>
              <w:rPr>
                <w:color w:val="auto"/>
                <w:sz w:val="21"/>
                <w:szCs w:val="21"/>
                <w:highlight w:val="none"/>
                <w:u w:val="single"/>
              </w:rPr>
            </w:pPr>
            <w:r>
              <w:rPr>
                <w:color w:val="auto"/>
                <w:sz w:val="21"/>
                <w:szCs w:val="21"/>
                <w:highlight w:val="none"/>
                <w:u w:val="single"/>
              </w:rPr>
              <w:t>脚手架、模板搭设、拆除作业未设警示区域或专人监护</w:t>
            </w:r>
          </w:p>
        </w:tc>
        <w:tc>
          <w:tcPr>
            <w:tcW w:w="1142" w:type="dxa"/>
            <w:gridSpan w:val="2"/>
            <w:noWrap w:val="0"/>
            <w:vAlign w:val="top"/>
          </w:tcPr>
          <w:p w14:paraId="6AAD3BE3">
            <w:pPr>
              <w:snapToGrid w:val="0"/>
              <w:jc w:val="center"/>
              <w:rPr>
                <w:color w:val="auto"/>
                <w:sz w:val="21"/>
                <w:szCs w:val="21"/>
                <w:highlight w:val="none"/>
                <w:u w:val="single"/>
              </w:rPr>
            </w:pPr>
          </w:p>
        </w:tc>
      </w:tr>
      <w:tr w14:paraId="384A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C575DB5">
            <w:pPr>
              <w:snapToGrid w:val="0"/>
              <w:jc w:val="center"/>
              <w:rPr>
                <w:color w:val="auto"/>
                <w:sz w:val="21"/>
                <w:szCs w:val="21"/>
                <w:highlight w:val="none"/>
                <w:u w:val="single"/>
              </w:rPr>
            </w:pPr>
            <w:r>
              <w:rPr>
                <w:rFonts w:hint="eastAsia"/>
                <w:color w:val="auto"/>
                <w:sz w:val="21"/>
                <w:szCs w:val="21"/>
                <w:highlight w:val="none"/>
                <w:u w:val="single"/>
              </w:rPr>
              <w:t>4.8</w:t>
            </w:r>
          </w:p>
        </w:tc>
        <w:tc>
          <w:tcPr>
            <w:tcW w:w="7371" w:type="dxa"/>
            <w:gridSpan w:val="2"/>
            <w:noWrap w:val="0"/>
            <w:vAlign w:val="top"/>
          </w:tcPr>
          <w:p w14:paraId="05219167">
            <w:pPr>
              <w:snapToGrid w:val="0"/>
              <w:rPr>
                <w:color w:val="auto"/>
                <w:sz w:val="21"/>
                <w:szCs w:val="21"/>
                <w:highlight w:val="none"/>
                <w:u w:val="single"/>
              </w:rPr>
            </w:pPr>
            <w:r>
              <w:rPr>
                <w:rFonts w:hint="eastAsia"/>
                <w:color w:val="auto"/>
                <w:sz w:val="21"/>
                <w:szCs w:val="21"/>
                <w:highlight w:val="none"/>
                <w:u w:val="single"/>
              </w:rPr>
              <w:t>拆下的模板没有及时运到指定地点集中堆放，大量堆放在脚手架或临时搭设的工作台上</w:t>
            </w:r>
          </w:p>
        </w:tc>
        <w:tc>
          <w:tcPr>
            <w:tcW w:w="1142" w:type="dxa"/>
            <w:gridSpan w:val="2"/>
            <w:noWrap w:val="0"/>
            <w:vAlign w:val="top"/>
          </w:tcPr>
          <w:p w14:paraId="100BFC18">
            <w:pPr>
              <w:snapToGrid w:val="0"/>
              <w:jc w:val="center"/>
              <w:rPr>
                <w:color w:val="auto"/>
                <w:sz w:val="21"/>
                <w:szCs w:val="21"/>
                <w:highlight w:val="none"/>
                <w:u w:val="single"/>
              </w:rPr>
            </w:pPr>
          </w:p>
        </w:tc>
      </w:tr>
      <w:tr w14:paraId="59C0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4119B36">
            <w:pPr>
              <w:snapToGrid w:val="0"/>
              <w:jc w:val="center"/>
              <w:rPr>
                <w:rFonts w:hint="eastAsia"/>
                <w:color w:val="auto"/>
                <w:sz w:val="21"/>
                <w:szCs w:val="21"/>
                <w:highlight w:val="none"/>
                <w:u w:val="single"/>
              </w:rPr>
            </w:pPr>
            <w:r>
              <w:rPr>
                <w:color w:val="auto"/>
                <w:sz w:val="21"/>
                <w:szCs w:val="21"/>
                <w:highlight w:val="none"/>
                <w:u w:val="single"/>
              </w:rPr>
              <w:t>4.</w:t>
            </w:r>
            <w:r>
              <w:rPr>
                <w:rFonts w:hint="eastAsia"/>
                <w:color w:val="auto"/>
                <w:sz w:val="21"/>
                <w:szCs w:val="21"/>
                <w:highlight w:val="none"/>
                <w:u w:val="single"/>
              </w:rPr>
              <w:t>9</w:t>
            </w:r>
          </w:p>
        </w:tc>
        <w:tc>
          <w:tcPr>
            <w:tcW w:w="7371" w:type="dxa"/>
            <w:gridSpan w:val="2"/>
            <w:noWrap w:val="0"/>
            <w:vAlign w:val="top"/>
          </w:tcPr>
          <w:p w14:paraId="50E0B2EE">
            <w:pPr>
              <w:snapToGrid w:val="0"/>
              <w:rPr>
                <w:color w:val="auto"/>
                <w:sz w:val="21"/>
                <w:szCs w:val="21"/>
                <w:highlight w:val="none"/>
                <w:u w:val="single"/>
              </w:rPr>
            </w:pPr>
            <w:r>
              <w:rPr>
                <w:color w:val="auto"/>
                <w:sz w:val="21"/>
                <w:szCs w:val="21"/>
                <w:highlight w:val="none"/>
                <w:u w:val="single"/>
              </w:rPr>
              <w:t>脚手架、模板支撑搭设未进行验收与挂牌就使用</w:t>
            </w:r>
          </w:p>
        </w:tc>
        <w:tc>
          <w:tcPr>
            <w:tcW w:w="1142" w:type="dxa"/>
            <w:gridSpan w:val="2"/>
            <w:noWrap w:val="0"/>
            <w:vAlign w:val="top"/>
          </w:tcPr>
          <w:p w14:paraId="0A1B40D2">
            <w:pPr>
              <w:snapToGrid w:val="0"/>
              <w:jc w:val="center"/>
              <w:rPr>
                <w:color w:val="auto"/>
                <w:sz w:val="21"/>
                <w:szCs w:val="21"/>
                <w:highlight w:val="none"/>
                <w:u w:val="single"/>
              </w:rPr>
            </w:pPr>
          </w:p>
        </w:tc>
      </w:tr>
      <w:tr w14:paraId="16E7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525C3DA">
            <w:pPr>
              <w:snapToGrid w:val="0"/>
              <w:jc w:val="center"/>
              <w:rPr>
                <w:color w:val="auto"/>
                <w:sz w:val="21"/>
                <w:szCs w:val="21"/>
                <w:highlight w:val="none"/>
                <w:u w:val="single"/>
              </w:rPr>
            </w:pPr>
            <w:r>
              <w:rPr>
                <w:rFonts w:hint="eastAsia"/>
                <w:color w:val="auto"/>
                <w:sz w:val="21"/>
                <w:szCs w:val="21"/>
                <w:highlight w:val="none"/>
                <w:u w:val="single"/>
              </w:rPr>
              <w:t>4.10</w:t>
            </w:r>
          </w:p>
        </w:tc>
        <w:tc>
          <w:tcPr>
            <w:tcW w:w="7371" w:type="dxa"/>
            <w:gridSpan w:val="2"/>
            <w:noWrap w:val="0"/>
            <w:vAlign w:val="top"/>
          </w:tcPr>
          <w:p w14:paraId="23A4A88B">
            <w:pPr>
              <w:snapToGrid w:val="0"/>
              <w:rPr>
                <w:color w:val="auto"/>
                <w:sz w:val="21"/>
                <w:szCs w:val="21"/>
                <w:highlight w:val="none"/>
                <w:u w:val="single"/>
              </w:rPr>
            </w:pPr>
            <w:r>
              <w:rPr>
                <w:rFonts w:hint="eastAsia"/>
                <w:color w:val="auto"/>
                <w:sz w:val="21"/>
                <w:szCs w:val="21"/>
                <w:highlight w:val="none"/>
                <w:u w:val="single"/>
              </w:rPr>
              <w:t>模板、木料集中堆放时，距离火源小于10m，且料场四周没有设置消防器材</w:t>
            </w:r>
          </w:p>
        </w:tc>
        <w:tc>
          <w:tcPr>
            <w:tcW w:w="1142" w:type="dxa"/>
            <w:gridSpan w:val="2"/>
            <w:noWrap w:val="0"/>
            <w:vAlign w:val="top"/>
          </w:tcPr>
          <w:p w14:paraId="5DAB47B1">
            <w:pPr>
              <w:snapToGrid w:val="0"/>
              <w:jc w:val="center"/>
              <w:rPr>
                <w:color w:val="auto"/>
                <w:sz w:val="21"/>
                <w:szCs w:val="21"/>
                <w:highlight w:val="none"/>
                <w:u w:val="single"/>
              </w:rPr>
            </w:pPr>
          </w:p>
        </w:tc>
      </w:tr>
      <w:tr w14:paraId="332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9200" w:type="dxa"/>
            <w:gridSpan w:val="5"/>
            <w:noWrap w:val="0"/>
            <w:vAlign w:val="center"/>
          </w:tcPr>
          <w:p w14:paraId="70C2E100">
            <w:pPr>
              <w:snapToGrid w:val="0"/>
              <w:jc w:val="left"/>
              <w:rPr>
                <w:color w:val="auto"/>
                <w:sz w:val="21"/>
                <w:szCs w:val="21"/>
                <w:highlight w:val="none"/>
                <w:u w:val="single"/>
              </w:rPr>
            </w:pPr>
            <w:r>
              <w:rPr>
                <w:color w:val="auto"/>
                <w:sz w:val="21"/>
                <w:szCs w:val="21"/>
                <w:highlight w:val="none"/>
                <w:u w:val="single"/>
              </w:rPr>
              <w:t>5.起重</w:t>
            </w:r>
            <w:r>
              <w:rPr>
                <w:rFonts w:hint="eastAsia"/>
                <w:color w:val="auto"/>
                <w:sz w:val="21"/>
                <w:szCs w:val="21"/>
                <w:highlight w:val="none"/>
                <w:u w:val="single"/>
              </w:rPr>
              <w:t>机械</w:t>
            </w:r>
            <w:r>
              <w:rPr>
                <w:color w:val="auto"/>
                <w:sz w:val="21"/>
                <w:szCs w:val="21"/>
                <w:highlight w:val="none"/>
                <w:u w:val="single"/>
              </w:rPr>
              <w:t>与</w:t>
            </w:r>
            <w:r>
              <w:rPr>
                <w:rFonts w:hint="eastAsia"/>
                <w:color w:val="auto"/>
                <w:sz w:val="21"/>
                <w:szCs w:val="21"/>
                <w:highlight w:val="none"/>
                <w:u w:val="single"/>
              </w:rPr>
              <w:t>起重作业</w:t>
            </w:r>
            <w:r>
              <w:rPr>
                <w:color w:val="auto"/>
                <w:sz w:val="21"/>
                <w:szCs w:val="21"/>
                <w:highlight w:val="none"/>
                <w:u w:val="single"/>
              </w:rPr>
              <w:t xml:space="preserve">  </w:t>
            </w:r>
            <w:r>
              <w:rPr>
                <w:rFonts w:hint="eastAsia"/>
                <w:color w:val="auto"/>
                <w:sz w:val="21"/>
                <w:szCs w:val="21"/>
                <w:highlight w:val="none"/>
                <w:u w:val="single"/>
              </w:rPr>
              <w:t xml:space="preserve">    </w:t>
            </w:r>
            <w:r>
              <w:rPr>
                <w:color w:val="auto"/>
                <w:sz w:val="21"/>
                <w:szCs w:val="21"/>
                <w:highlight w:val="none"/>
                <w:u w:val="single"/>
              </w:rPr>
              <w:t>违反下列行为给予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w:t>
            </w:r>
            <w:r>
              <w:rPr>
                <w:color w:val="auto"/>
                <w:sz w:val="21"/>
                <w:szCs w:val="21"/>
                <w:highlight w:val="none"/>
                <w:u w:val="single"/>
              </w:rPr>
              <w:t>000元处罚</w:t>
            </w:r>
          </w:p>
        </w:tc>
      </w:tr>
      <w:tr w14:paraId="2006C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C3EF333">
            <w:pPr>
              <w:snapToGrid w:val="0"/>
              <w:jc w:val="center"/>
              <w:rPr>
                <w:color w:val="auto"/>
                <w:sz w:val="21"/>
                <w:szCs w:val="21"/>
                <w:highlight w:val="none"/>
                <w:u w:val="single"/>
              </w:rPr>
            </w:pPr>
            <w:r>
              <w:rPr>
                <w:color w:val="auto"/>
                <w:sz w:val="21"/>
                <w:szCs w:val="21"/>
                <w:highlight w:val="none"/>
                <w:u w:val="single"/>
              </w:rPr>
              <w:t>5.1</w:t>
            </w:r>
          </w:p>
        </w:tc>
        <w:tc>
          <w:tcPr>
            <w:tcW w:w="7371" w:type="dxa"/>
            <w:gridSpan w:val="2"/>
            <w:noWrap w:val="0"/>
            <w:vAlign w:val="top"/>
          </w:tcPr>
          <w:p w14:paraId="7BD29845">
            <w:pPr>
              <w:snapToGrid w:val="0"/>
              <w:rPr>
                <w:color w:val="auto"/>
                <w:sz w:val="21"/>
                <w:szCs w:val="21"/>
                <w:highlight w:val="none"/>
                <w:u w:val="single"/>
              </w:rPr>
            </w:pPr>
            <w:r>
              <w:rPr>
                <w:color w:val="auto"/>
                <w:sz w:val="21"/>
                <w:szCs w:val="21"/>
                <w:highlight w:val="none"/>
                <w:u w:val="single"/>
              </w:rPr>
              <w:t>人员从起重物下方停留或通过，或吊物从人头上越过</w:t>
            </w:r>
          </w:p>
        </w:tc>
        <w:tc>
          <w:tcPr>
            <w:tcW w:w="1142" w:type="dxa"/>
            <w:gridSpan w:val="2"/>
            <w:noWrap w:val="0"/>
            <w:vAlign w:val="top"/>
          </w:tcPr>
          <w:p w14:paraId="264AA893">
            <w:pPr>
              <w:snapToGrid w:val="0"/>
              <w:jc w:val="center"/>
              <w:rPr>
                <w:color w:val="auto"/>
                <w:sz w:val="21"/>
                <w:szCs w:val="21"/>
                <w:highlight w:val="none"/>
                <w:u w:val="single"/>
              </w:rPr>
            </w:pPr>
          </w:p>
        </w:tc>
      </w:tr>
      <w:tr w14:paraId="0484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8D4954A">
            <w:pPr>
              <w:snapToGrid w:val="0"/>
              <w:jc w:val="center"/>
              <w:rPr>
                <w:color w:val="auto"/>
                <w:sz w:val="21"/>
                <w:szCs w:val="21"/>
                <w:highlight w:val="none"/>
                <w:u w:val="single"/>
              </w:rPr>
            </w:pPr>
            <w:r>
              <w:rPr>
                <w:color w:val="auto"/>
                <w:sz w:val="21"/>
                <w:szCs w:val="21"/>
                <w:highlight w:val="none"/>
                <w:u w:val="single"/>
              </w:rPr>
              <w:t>5.2</w:t>
            </w:r>
          </w:p>
        </w:tc>
        <w:tc>
          <w:tcPr>
            <w:tcW w:w="7371" w:type="dxa"/>
            <w:gridSpan w:val="2"/>
            <w:noWrap w:val="0"/>
            <w:vAlign w:val="top"/>
          </w:tcPr>
          <w:p w14:paraId="792A762B">
            <w:pPr>
              <w:snapToGrid w:val="0"/>
              <w:rPr>
                <w:color w:val="auto"/>
                <w:sz w:val="21"/>
                <w:szCs w:val="21"/>
                <w:highlight w:val="none"/>
                <w:u w:val="single"/>
              </w:rPr>
            </w:pPr>
            <w:r>
              <w:rPr>
                <w:color w:val="auto"/>
                <w:sz w:val="21"/>
                <w:szCs w:val="21"/>
                <w:highlight w:val="none"/>
                <w:u w:val="single"/>
              </w:rPr>
              <w:t>起吊物未绑扎牢固，起吊时偏拉斜吊，吊物未放稳时松钩</w:t>
            </w:r>
          </w:p>
        </w:tc>
        <w:tc>
          <w:tcPr>
            <w:tcW w:w="1142" w:type="dxa"/>
            <w:gridSpan w:val="2"/>
            <w:noWrap w:val="0"/>
            <w:vAlign w:val="top"/>
          </w:tcPr>
          <w:p w14:paraId="6CA994D8">
            <w:pPr>
              <w:snapToGrid w:val="0"/>
              <w:jc w:val="center"/>
              <w:rPr>
                <w:color w:val="auto"/>
                <w:sz w:val="21"/>
                <w:szCs w:val="21"/>
                <w:highlight w:val="none"/>
                <w:u w:val="single"/>
              </w:rPr>
            </w:pPr>
          </w:p>
        </w:tc>
      </w:tr>
      <w:tr w14:paraId="29ED1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9445743">
            <w:pPr>
              <w:snapToGrid w:val="0"/>
              <w:jc w:val="center"/>
              <w:rPr>
                <w:color w:val="auto"/>
                <w:sz w:val="21"/>
                <w:szCs w:val="21"/>
                <w:highlight w:val="none"/>
                <w:u w:val="single"/>
              </w:rPr>
            </w:pPr>
            <w:r>
              <w:rPr>
                <w:color w:val="auto"/>
                <w:sz w:val="21"/>
                <w:szCs w:val="21"/>
                <w:highlight w:val="none"/>
                <w:u w:val="single"/>
              </w:rPr>
              <w:t>5.3</w:t>
            </w:r>
          </w:p>
        </w:tc>
        <w:tc>
          <w:tcPr>
            <w:tcW w:w="7371" w:type="dxa"/>
            <w:gridSpan w:val="2"/>
            <w:noWrap w:val="0"/>
            <w:vAlign w:val="top"/>
          </w:tcPr>
          <w:p w14:paraId="5F1F429E">
            <w:pPr>
              <w:snapToGrid w:val="0"/>
              <w:rPr>
                <w:color w:val="auto"/>
                <w:sz w:val="21"/>
                <w:szCs w:val="21"/>
                <w:highlight w:val="none"/>
                <w:u w:val="single"/>
              </w:rPr>
            </w:pPr>
            <w:r>
              <w:rPr>
                <w:color w:val="auto"/>
                <w:sz w:val="21"/>
                <w:szCs w:val="21"/>
                <w:highlight w:val="none"/>
                <w:u w:val="single"/>
              </w:rPr>
              <w:t>起吊大件或不规则组件未绑溜绳</w:t>
            </w:r>
          </w:p>
        </w:tc>
        <w:tc>
          <w:tcPr>
            <w:tcW w:w="1142" w:type="dxa"/>
            <w:gridSpan w:val="2"/>
            <w:noWrap w:val="0"/>
            <w:vAlign w:val="top"/>
          </w:tcPr>
          <w:p w14:paraId="62388864">
            <w:pPr>
              <w:snapToGrid w:val="0"/>
              <w:jc w:val="center"/>
              <w:rPr>
                <w:color w:val="auto"/>
                <w:sz w:val="21"/>
                <w:szCs w:val="21"/>
                <w:highlight w:val="none"/>
                <w:u w:val="single"/>
              </w:rPr>
            </w:pPr>
          </w:p>
        </w:tc>
      </w:tr>
      <w:tr w14:paraId="11BF0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0C2A24D">
            <w:pPr>
              <w:snapToGrid w:val="0"/>
              <w:jc w:val="center"/>
              <w:rPr>
                <w:color w:val="auto"/>
                <w:sz w:val="21"/>
                <w:szCs w:val="21"/>
                <w:highlight w:val="none"/>
                <w:u w:val="single"/>
              </w:rPr>
            </w:pPr>
            <w:r>
              <w:rPr>
                <w:color w:val="auto"/>
                <w:sz w:val="21"/>
                <w:szCs w:val="21"/>
                <w:highlight w:val="none"/>
                <w:u w:val="single"/>
              </w:rPr>
              <w:t>5.4</w:t>
            </w:r>
          </w:p>
        </w:tc>
        <w:tc>
          <w:tcPr>
            <w:tcW w:w="7371" w:type="dxa"/>
            <w:gridSpan w:val="2"/>
            <w:noWrap w:val="0"/>
            <w:vAlign w:val="top"/>
          </w:tcPr>
          <w:p w14:paraId="52782911">
            <w:pPr>
              <w:snapToGrid w:val="0"/>
              <w:rPr>
                <w:color w:val="auto"/>
                <w:sz w:val="21"/>
                <w:szCs w:val="21"/>
                <w:highlight w:val="none"/>
                <w:u w:val="single"/>
              </w:rPr>
            </w:pPr>
            <w:r>
              <w:rPr>
                <w:color w:val="auto"/>
                <w:sz w:val="21"/>
                <w:szCs w:val="21"/>
                <w:highlight w:val="none"/>
                <w:u w:val="single"/>
              </w:rPr>
              <w:t>起重机同时操作三个动作，接近满负荷同时操作两个动作</w:t>
            </w:r>
          </w:p>
        </w:tc>
        <w:tc>
          <w:tcPr>
            <w:tcW w:w="1142" w:type="dxa"/>
            <w:gridSpan w:val="2"/>
            <w:noWrap w:val="0"/>
            <w:vAlign w:val="top"/>
          </w:tcPr>
          <w:p w14:paraId="1C9B508C">
            <w:pPr>
              <w:snapToGrid w:val="0"/>
              <w:jc w:val="center"/>
              <w:rPr>
                <w:color w:val="auto"/>
                <w:sz w:val="21"/>
                <w:szCs w:val="21"/>
                <w:highlight w:val="none"/>
                <w:u w:val="single"/>
              </w:rPr>
            </w:pPr>
          </w:p>
        </w:tc>
      </w:tr>
      <w:tr w14:paraId="598C4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6E26C4">
            <w:pPr>
              <w:snapToGrid w:val="0"/>
              <w:jc w:val="center"/>
              <w:rPr>
                <w:color w:val="auto"/>
                <w:sz w:val="21"/>
                <w:szCs w:val="21"/>
                <w:highlight w:val="none"/>
                <w:u w:val="single"/>
              </w:rPr>
            </w:pPr>
            <w:r>
              <w:rPr>
                <w:color w:val="auto"/>
                <w:sz w:val="21"/>
                <w:szCs w:val="21"/>
                <w:highlight w:val="none"/>
                <w:u w:val="single"/>
              </w:rPr>
              <w:t>5.5</w:t>
            </w:r>
          </w:p>
        </w:tc>
        <w:tc>
          <w:tcPr>
            <w:tcW w:w="7371" w:type="dxa"/>
            <w:gridSpan w:val="2"/>
            <w:noWrap w:val="0"/>
            <w:vAlign w:val="top"/>
          </w:tcPr>
          <w:p w14:paraId="0B9A4F90">
            <w:pPr>
              <w:snapToGrid w:val="0"/>
              <w:rPr>
                <w:color w:val="auto"/>
                <w:sz w:val="21"/>
                <w:szCs w:val="21"/>
                <w:highlight w:val="none"/>
                <w:u w:val="single"/>
              </w:rPr>
            </w:pPr>
            <w:r>
              <w:rPr>
                <w:color w:val="auto"/>
                <w:sz w:val="21"/>
                <w:szCs w:val="21"/>
                <w:highlight w:val="none"/>
                <w:u w:val="single"/>
              </w:rPr>
              <w:t>吊起重物时司机离开操作室</w:t>
            </w:r>
          </w:p>
        </w:tc>
        <w:tc>
          <w:tcPr>
            <w:tcW w:w="1142" w:type="dxa"/>
            <w:gridSpan w:val="2"/>
            <w:noWrap w:val="0"/>
            <w:vAlign w:val="top"/>
          </w:tcPr>
          <w:p w14:paraId="0B78EE1E">
            <w:pPr>
              <w:snapToGrid w:val="0"/>
              <w:jc w:val="center"/>
              <w:rPr>
                <w:color w:val="auto"/>
                <w:sz w:val="21"/>
                <w:szCs w:val="21"/>
                <w:highlight w:val="none"/>
                <w:u w:val="single"/>
              </w:rPr>
            </w:pPr>
          </w:p>
        </w:tc>
      </w:tr>
      <w:tr w14:paraId="45DCB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D76F60A">
            <w:pPr>
              <w:snapToGrid w:val="0"/>
              <w:jc w:val="center"/>
              <w:rPr>
                <w:color w:val="auto"/>
                <w:sz w:val="21"/>
                <w:szCs w:val="21"/>
                <w:highlight w:val="none"/>
                <w:u w:val="single"/>
              </w:rPr>
            </w:pPr>
            <w:r>
              <w:rPr>
                <w:color w:val="auto"/>
                <w:sz w:val="21"/>
                <w:szCs w:val="21"/>
                <w:highlight w:val="none"/>
                <w:u w:val="single"/>
              </w:rPr>
              <w:t>5.6</w:t>
            </w:r>
          </w:p>
        </w:tc>
        <w:tc>
          <w:tcPr>
            <w:tcW w:w="7371" w:type="dxa"/>
            <w:gridSpan w:val="2"/>
            <w:noWrap w:val="0"/>
            <w:vAlign w:val="top"/>
          </w:tcPr>
          <w:p w14:paraId="688419F0">
            <w:pPr>
              <w:snapToGrid w:val="0"/>
              <w:rPr>
                <w:color w:val="auto"/>
                <w:sz w:val="21"/>
                <w:szCs w:val="21"/>
                <w:highlight w:val="none"/>
                <w:u w:val="single"/>
              </w:rPr>
            </w:pPr>
            <w:r>
              <w:rPr>
                <w:color w:val="auto"/>
                <w:sz w:val="21"/>
                <w:szCs w:val="21"/>
                <w:highlight w:val="none"/>
                <w:u w:val="single"/>
              </w:rPr>
              <w:t>龙门吊或塔吊移动时人员上下扶梯</w:t>
            </w:r>
          </w:p>
        </w:tc>
        <w:tc>
          <w:tcPr>
            <w:tcW w:w="1142" w:type="dxa"/>
            <w:gridSpan w:val="2"/>
            <w:noWrap w:val="0"/>
            <w:vAlign w:val="top"/>
          </w:tcPr>
          <w:p w14:paraId="02A73B1B">
            <w:pPr>
              <w:snapToGrid w:val="0"/>
              <w:jc w:val="center"/>
              <w:rPr>
                <w:color w:val="auto"/>
                <w:sz w:val="21"/>
                <w:szCs w:val="21"/>
                <w:highlight w:val="none"/>
                <w:u w:val="single"/>
              </w:rPr>
            </w:pPr>
          </w:p>
        </w:tc>
      </w:tr>
      <w:tr w14:paraId="5B528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87B69E5">
            <w:pPr>
              <w:snapToGrid w:val="0"/>
              <w:jc w:val="center"/>
              <w:rPr>
                <w:color w:val="auto"/>
                <w:sz w:val="21"/>
                <w:szCs w:val="21"/>
                <w:highlight w:val="none"/>
                <w:u w:val="single"/>
              </w:rPr>
            </w:pPr>
            <w:r>
              <w:rPr>
                <w:color w:val="auto"/>
                <w:sz w:val="21"/>
                <w:szCs w:val="21"/>
                <w:highlight w:val="none"/>
                <w:u w:val="single"/>
              </w:rPr>
              <w:t>5.7</w:t>
            </w:r>
          </w:p>
        </w:tc>
        <w:tc>
          <w:tcPr>
            <w:tcW w:w="7371" w:type="dxa"/>
            <w:gridSpan w:val="2"/>
            <w:noWrap w:val="0"/>
            <w:vAlign w:val="top"/>
          </w:tcPr>
          <w:p w14:paraId="0CAA2505">
            <w:pPr>
              <w:snapToGrid w:val="0"/>
              <w:rPr>
                <w:color w:val="auto"/>
                <w:sz w:val="21"/>
                <w:szCs w:val="21"/>
                <w:highlight w:val="none"/>
                <w:u w:val="single"/>
              </w:rPr>
            </w:pPr>
            <w:r>
              <w:rPr>
                <w:color w:val="auto"/>
                <w:sz w:val="21"/>
                <w:szCs w:val="21"/>
                <w:highlight w:val="none"/>
                <w:u w:val="single"/>
              </w:rPr>
              <w:t>移动式起重机械在起吊重物时未打支脚或在松动地面作业时未垫钢板或枕木</w:t>
            </w:r>
          </w:p>
        </w:tc>
        <w:tc>
          <w:tcPr>
            <w:tcW w:w="1142" w:type="dxa"/>
            <w:gridSpan w:val="2"/>
            <w:noWrap w:val="0"/>
            <w:vAlign w:val="top"/>
          </w:tcPr>
          <w:p w14:paraId="40B91C0B">
            <w:pPr>
              <w:snapToGrid w:val="0"/>
              <w:jc w:val="center"/>
              <w:rPr>
                <w:color w:val="auto"/>
                <w:sz w:val="21"/>
                <w:szCs w:val="21"/>
                <w:highlight w:val="none"/>
                <w:u w:val="single"/>
              </w:rPr>
            </w:pPr>
          </w:p>
        </w:tc>
      </w:tr>
      <w:tr w14:paraId="6FD3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22003BB">
            <w:pPr>
              <w:snapToGrid w:val="0"/>
              <w:jc w:val="center"/>
              <w:rPr>
                <w:color w:val="auto"/>
                <w:sz w:val="21"/>
                <w:szCs w:val="21"/>
                <w:highlight w:val="none"/>
                <w:u w:val="single"/>
              </w:rPr>
            </w:pPr>
            <w:r>
              <w:rPr>
                <w:color w:val="auto"/>
                <w:sz w:val="21"/>
                <w:szCs w:val="21"/>
                <w:highlight w:val="none"/>
                <w:u w:val="single"/>
              </w:rPr>
              <w:t>5.8</w:t>
            </w:r>
          </w:p>
        </w:tc>
        <w:tc>
          <w:tcPr>
            <w:tcW w:w="7371" w:type="dxa"/>
            <w:gridSpan w:val="2"/>
            <w:noWrap w:val="0"/>
            <w:vAlign w:val="top"/>
          </w:tcPr>
          <w:p w14:paraId="747CCCDF">
            <w:pPr>
              <w:snapToGrid w:val="0"/>
              <w:rPr>
                <w:color w:val="auto"/>
                <w:sz w:val="21"/>
                <w:szCs w:val="21"/>
                <w:highlight w:val="none"/>
                <w:u w:val="single"/>
              </w:rPr>
            </w:pPr>
            <w:r>
              <w:rPr>
                <w:color w:val="auto"/>
                <w:sz w:val="21"/>
                <w:szCs w:val="21"/>
                <w:highlight w:val="none"/>
                <w:u w:val="single"/>
              </w:rPr>
              <w:t>暴雨、大风等恶劣气候进行高处、起重作业</w:t>
            </w:r>
          </w:p>
        </w:tc>
        <w:tc>
          <w:tcPr>
            <w:tcW w:w="1142" w:type="dxa"/>
            <w:gridSpan w:val="2"/>
            <w:noWrap w:val="0"/>
            <w:vAlign w:val="top"/>
          </w:tcPr>
          <w:p w14:paraId="290DFBC8">
            <w:pPr>
              <w:snapToGrid w:val="0"/>
              <w:jc w:val="center"/>
              <w:rPr>
                <w:color w:val="auto"/>
                <w:sz w:val="21"/>
                <w:szCs w:val="21"/>
                <w:highlight w:val="none"/>
                <w:u w:val="single"/>
              </w:rPr>
            </w:pPr>
          </w:p>
        </w:tc>
      </w:tr>
      <w:tr w14:paraId="129C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3879E7F">
            <w:pPr>
              <w:snapToGrid w:val="0"/>
              <w:jc w:val="center"/>
              <w:rPr>
                <w:color w:val="auto"/>
                <w:sz w:val="21"/>
                <w:szCs w:val="21"/>
                <w:highlight w:val="none"/>
                <w:u w:val="single"/>
              </w:rPr>
            </w:pPr>
            <w:r>
              <w:rPr>
                <w:color w:val="auto"/>
                <w:sz w:val="21"/>
                <w:szCs w:val="21"/>
                <w:highlight w:val="none"/>
                <w:u w:val="single"/>
              </w:rPr>
              <w:t>5.9</w:t>
            </w:r>
          </w:p>
        </w:tc>
        <w:tc>
          <w:tcPr>
            <w:tcW w:w="7371" w:type="dxa"/>
            <w:gridSpan w:val="2"/>
            <w:noWrap w:val="0"/>
            <w:vAlign w:val="top"/>
          </w:tcPr>
          <w:p w14:paraId="66A21E18">
            <w:pPr>
              <w:snapToGrid w:val="0"/>
              <w:rPr>
                <w:color w:val="auto"/>
                <w:sz w:val="21"/>
                <w:szCs w:val="21"/>
                <w:highlight w:val="none"/>
                <w:u w:val="single"/>
              </w:rPr>
            </w:pPr>
            <w:r>
              <w:rPr>
                <w:color w:val="auto"/>
                <w:sz w:val="21"/>
                <w:szCs w:val="21"/>
                <w:highlight w:val="none"/>
                <w:u w:val="single"/>
              </w:rPr>
              <w:t>卷扬机基座不稳定，卷筒与导向轮中心未对正，运行时钢丝绳小于五圈，运行时跨越钢丝绳</w:t>
            </w:r>
          </w:p>
        </w:tc>
        <w:tc>
          <w:tcPr>
            <w:tcW w:w="1142" w:type="dxa"/>
            <w:gridSpan w:val="2"/>
            <w:noWrap w:val="0"/>
            <w:vAlign w:val="top"/>
          </w:tcPr>
          <w:p w14:paraId="488E8201">
            <w:pPr>
              <w:snapToGrid w:val="0"/>
              <w:jc w:val="center"/>
              <w:rPr>
                <w:color w:val="auto"/>
                <w:sz w:val="21"/>
                <w:szCs w:val="21"/>
                <w:highlight w:val="none"/>
                <w:u w:val="single"/>
              </w:rPr>
            </w:pPr>
          </w:p>
        </w:tc>
      </w:tr>
      <w:tr w14:paraId="58863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967924D">
            <w:pPr>
              <w:snapToGrid w:val="0"/>
              <w:jc w:val="center"/>
              <w:rPr>
                <w:color w:val="auto"/>
                <w:sz w:val="21"/>
                <w:szCs w:val="21"/>
                <w:highlight w:val="none"/>
                <w:u w:val="single"/>
              </w:rPr>
            </w:pPr>
            <w:r>
              <w:rPr>
                <w:color w:val="auto"/>
                <w:sz w:val="21"/>
                <w:szCs w:val="21"/>
                <w:highlight w:val="none"/>
                <w:u w:val="single"/>
              </w:rPr>
              <w:t>5.10</w:t>
            </w:r>
          </w:p>
        </w:tc>
        <w:tc>
          <w:tcPr>
            <w:tcW w:w="7371" w:type="dxa"/>
            <w:gridSpan w:val="2"/>
            <w:noWrap w:val="0"/>
            <w:vAlign w:val="top"/>
          </w:tcPr>
          <w:p w14:paraId="618B37D8">
            <w:pPr>
              <w:snapToGrid w:val="0"/>
              <w:rPr>
                <w:color w:val="auto"/>
                <w:sz w:val="21"/>
                <w:szCs w:val="21"/>
                <w:highlight w:val="none"/>
                <w:u w:val="single"/>
              </w:rPr>
            </w:pPr>
            <w:r>
              <w:rPr>
                <w:color w:val="auto"/>
                <w:sz w:val="21"/>
                <w:szCs w:val="21"/>
                <w:highlight w:val="none"/>
                <w:u w:val="single"/>
              </w:rPr>
              <w:t>葫芦长期吊挂时不加保险绳，拆成单链使用，拉链人数超过规定要求</w:t>
            </w:r>
          </w:p>
        </w:tc>
        <w:tc>
          <w:tcPr>
            <w:tcW w:w="1142" w:type="dxa"/>
            <w:gridSpan w:val="2"/>
            <w:noWrap w:val="0"/>
            <w:vAlign w:val="top"/>
          </w:tcPr>
          <w:p w14:paraId="3855D109">
            <w:pPr>
              <w:snapToGrid w:val="0"/>
              <w:jc w:val="center"/>
              <w:rPr>
                <w:color w:val="auto"/>
                <w:sz w:val="21"/>
                <w:szCs w:val="21"/>
                <w:highlight w:val="none"/>
                <w:u w:val="single"/>
              </w:rPr>
            </w:pPr>
          </w:p>
        </w:tc>
      </w:tr>
      <w:tr w14:paraId="6B31A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9761F05">
            <w:pPr>
              <w:snapToGrid w:val="0"/>
              <w:jc w:val="center"/>
              <w:rPr>
                <w:color w:val="auto"/>
                <w:sz w:val="21"/>
                <w:szCs w:val="21"/>
                <w:highlight w:val="none"/>
                <w:u w:val="single"/>
              </w:rPr>
            </w:pPr>
            <w:r>
              <w:rPr>
                <w:color w:val="auto"/>
                <w:sz w:val="21"/>
                <w:szCs w:val="21"/>
                <w:highlight w:val="none"/>
                <w:u w:val="single"/>
              </w:rPr>
              <w:t>5.11</w:t>
            </w:r>
          </w:p>
        </w:tc>
        <w:tc>
          <w:tcPr>
            <w:tcW w:w="7371" w:type="dxa"/>
            <w:gridSpan w:val="2"/>
            <w:noWrap w:val="0"/>
            <w:vAlign w:val="top"/>
          </w:tcPr>
          <w:p w14:paraId="27CAAB09">
            <w:pPr>
              <w:snapToGrid w:val="0"/>
              <w:rPr>
                <w:color w:val="auto"/>
                <w:sz w:val="21"/>
                <w:szCs w:val="21"/>
                <w:highlight w:val="none"/>
                <w:u w:val="single"/>
              </w:rPr>
            </w:pPr>
            <w:r>
              <w:rPr>
                <w:color w:val="auto"/>
                <w:sz w:val="21"/>
                <w:szCs w:val="21"/>
                <w:highlight w:val="none"/>
                <w:u w:val="single"/>
              </w:rPr>
              <w:t>未经承载计算及批准利用管道、脚手架起吊物件</w:t>
            </w:r>
          </w:p>
        </w:tc>
        <w:tc>
          <w:tcPr>
            <w:tcW w:w="1142" w:type="dxa"/>
            <w:gridSpan w:val="2"/>
            <w:noWrap w:val="0"/>
            <w:vAlign w:val="top"/>
          </w:tcPr>
          <w:p w14:paraId="1766FB9C">
            <w:pPr>
              <w:snapToGrid w:val="0"/>
              <w:jc w:val="center"/>
              <w:rPr>
                <w:color w:val="auto"/>
                <w:sz w:val="21"/>
                <w:szCs w:val="21"/>
                <w:highlight w:val="none"/>
                <w:u w:val="single"/>
              </w:rPr>
            </w:pPr>
          </w:p>
        </w:tc>
      </w:tr>
      <w:tr w14:paraId="30E6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E59B154">
            <w:pPr>
              <w:snapToGrid w:val="0"/>
              <w:jc w:val="center"/>
              <w:rPr>
                <w:color w:val="auto"/>
                <w:sz w:val="21"/>
                <w:szCs w:val="21"/>
                <w:highlight w:val="none"/>
                <w:u w:val="single"/>
              </w:rPr>
            </w:pPr>
            <w:r>
              <w:rPr>
                <w:color w:val="auto"/>
                <w:sz w:val="21"/>
                <w:szCs w:val="21"/>
                <w:highlight w:val="none"/>
                <w:u w:val="single"/>
              </w:rPr>
              <w:t>5.12</w:t>
            </w:r>
          </w:p>
        </w:tc>
        <w:tc>
          <w:tcPr>
            <w:tcW w:w="7371" w:type="dxa"/>
            <w:gridSpan w:val="2"/>
            <w:noWrap w:val="0"/>
            <w:vAlign w:val="top"/>
          </w:tcPr>
          <w:p w14:paraId="2F3AC717">
            <w:pPr>
              <w:snapToGrid w:val="0"/>
              <w:rPr>
                <w:color w:val="auto"/>
                <w:sz w:val="21"/>
                <w:szCs w:val="21"/>
                <w:highlight w:val="none"/>
                <w:u w:val="single"/>
              </w:rPr>
            </w:pPr>
            <w:r>
              <w:rPr>
                <w:color w:val="auto"/>
                <w:sz w:val="21"/>
                <w:szCs w:val="21"/>
                <w:highlight w:val="none"/>
                <w:u w:val="single"/>
              </w:rPr>
              <w:t>使用井架载人上下，电梯和井架安全门未设置</w:t>
            </w:r>
          </w:p>
        </w:tc>
        <w:tc>
          <w:tcPr>
            <w:tcW w:w="1142" w:type="dxa"/>
            <w:gridSpan w:val="2"/>
            <w:noWrap w:val="0"/>
            <w:vAlign w:val="top"/>
          </w:tcPr>
          <w:p w14:paraId="6D780E57">
            <w:pPr>
              <w:snapToGrid w:val="0"/>
              <w:jc w:val="center"/>
              <w:rPr>
                <w:color w:val="auto"/>
                <w:sz w:val="21"/>
                <w:szCs w:val="21"/>
                <w:highlight w:val="none"/>
                <w:u w:val="single"/>
              </w:rPr>
            </w:pPr>
          </w:p>
        </w:tc>
      </w:tr>
      <w:tr w14:paraId="3D892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6AAC133">
            <w:pPr>
              <w:snapToGrid w:val="0"/>
              <w:jc w:val="center"/>
              <w:rPr>
                <w:color w:val="auto"/>
                <w:sz w:val="21"/>
                <w:szCs w:val="21"/>
                <w:highlight w:val="none"/>
                <w:u w:val="single"/>
              </w:rPr>
            </w:pPr>
            <w:r>
              <w:rPr>
                <w:color w:val="auto"/>
                <w:sz w:val="21"/>
                <w:szCs w:val="21"/>
                <w:highlight w:val="none"/>
                <w:u w:val="single"/>
              </w:rPr>
              <w:t>5.13</w:t>
            </w:r>
          </w:p>
        </w:tc>
        <w:tc>
          <w:tcPr>
            <w:tcW w:w="7371" w:type="dxa"/>
            <w:gridSpan w:val="2"/>
            <w:noWrap w:val="0"/>
            <w:vAlign w:val="top"/>
          </w:tcPr>
          <w:p w14:paraId="39F1D3F5">
            <w:pPr>
              <w:snapToGrid w:val="0"/>
              <w:rPr>
                <w:color w:val="auto"/>
                <w:sz w:val="21"/>
                <w:szCs w:val="21"/>
                <w:highlight w:val="none"/>
                <w:u w:val="single"/>
              </w:rPr>
            </w:pPr>
            <w:r>
              <w:rPr>
                <w:color w:val="auto"/>
                <w:sz w:val="21"/>
                <w:szCs w:val="21"/>
                <w:highlight w:val="none"/>
                <w:u w:val="single"/>
              </w:rPr>
              <w:t>使用不合格的起重工器具或违规使用工器具</w:t>
            </w:r>
          </w:p>
        </w:tc>
        <w:tc>
          <w:tcPr>
            <w:tcW w:w="1142" w:type="dxa"/>
            <w:gridSpan w:val="2"/>
            <w:noWrap w:val="0"/>
            <w:vAlign w:val="top"/>
          </w:tcPr>
          <w:p w14:paraId="7EBD7A7E">
            <w:pPr>
              <w:snapToGrid w:val="0"/>
              <w:jc w:val="center"/>
              <w:rPr>
                <w:color w:val="auto"/>
                <w:sz w:val="21"/>
                <w:szCs w:val="21"/>
                <w:highlight w:val="none"/>
                <w:u w:val="single"/>
              </w:rPr>
            </w:pPr>
          </w:p>
        </w:tc>
      </w:tr>
      <w:tr w14:paraId="7F6D4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C38F320">
            <w:pPr>
              <w:snapToGrid w:val="0"/>
              <w:jc w:val="center"/>
              <w:rPr>
                <w:color w:val="auto"/>
                <w:sz w:val="21"/>
                <w:szCs w:val="21"/>
                <w:highlight w:val="none"/>
                <w:u w:val="single"/>
              </w:rPr>
            </w:pPr>
            <w:r>
              <w:rPr>
                <w:color w:val="auto"/>
                <w:sz w:val="21"/>
                <w:szCs w:val="21"/>
                <w:highlight w:val="none"/>
                <w:u w:val="single"/>
              </w:rPr>
              <w:t>5.14</w:t>
            </w:r>
          </w:p>
        </w:tc>
        <w:tc>
          <w:tcPr>
            <w:tcW w:w="7371" w:type="dxa"/>
            <w:gridSpan w:val="2"/>
            <w:noWrap w:val="0"/>
            <w:vAlign w:val="top"/>
          </w:tcPr>
          <w:p w14:paraId="70A47EA9">
            <w:pPr>
              <w:snapToGrid w:val="0"/>
              <w:rPr>
                <w:color w:val="auto"/>
                <w:sz w:val="21"/>
                <w:szCs w:val="21"/>
                <w:highlight w:val="none"/>
                <w:u w:val="single"/>
              </w:rPr>
            </w:pPr>
            <w:r>
              <w:rPr>
                <w:color w:val="auto"/>
                <w:sz w:val="21"/>
                <w:szCs w:val="21"/>
                <w:highlight w:val="none"/>
                <w:u w:val="single"/>
              </w:rPr>
              <w:t>钢丝绳接触棱角处未垫包角</w:t>
            </w:r>
          </w:p>
        </w:tc>
        <w:tc>
          <w:tcPr>
            <w:tcW w:w="1142" w:type="dxa"/>
            <w:gridSpan w:val="2"/>
            <w:noWrap w:val="0"/>
            <w:vAlign w:val="top"/>
          </w:tcPr>
          <w:p w14:paraId="70999950">
            <w:pPr>
              <w:snapToGrid w:val="0"/>
              <w:jc w:val="center"/>
              <w:rPr>
                <w:color w:val="auto"/>
                <w:sz w:val="21"/>
                <w:szCs w:val="21"/>
                <w:highlight w:val="none"/>
                <w:u w:val="single"/>
              </w:rPr>
            </w:pPr>
          </w:p>
        </w:tc>
      </w:tr>
      <w:tr w14:paraId="480A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DF76836">
            <w:pPr>
              <w:snapToGrid w:val="0"/>
              <w:jc w:val="center"/>
              <w:rPr>
                <w:color w:val="auto"/>
                <w:sz w:val="21"/>
                <w:szCs w:val="21"/>
                <w:highlight w:val="none"/>
                <w:u w:val="single"/>
              </w:rPr>
            </w:pPr>
            <w:r>
              <w:rPr>
                <w:color w:val="auto"/>
                <w:sz w:val="21"/>
                <w:szCs w:val="21"/>
                <w:highlight w:val="none"/>
                <w:u w:val="single"/>
              </w:rPr>
              <w:t>5.15</w:t>
            </w:r>
          </w:p>
        </w:tc>
        <w:tc>
          <w:tcPr>
            <w:tcW w:w="7371" w:type="dxa"/>
            <w:gridSpan w:val="2"/>
            <w:noWrap w:val="0"/>
            <w:vAlign w:val="top"/>
          </w:tcPr>
          <w:p w14:paraId="42C5643D">
            <w:pPr>
              <w:snapToGrid w:val="0"/>
              <w:rPr>
                <w:color w:val="auto"/>
                <w:sz w:val="21"/>
                <w:szCs w:val="21"/>
                <w:highlight w:val="none"/>
                <w:u w:val="single"/>
              </w:rPr>
            </w:pPr>
            <w:r>
              <w:rPr>
                <w:color w:val="auto"/>
                <w:sz w:val="21"/>
                <w:szCs w:val="21"/>
                <w:highlight w:val="none"/>
                <w:u w:val="single"/>
              </w:rPr>
              <w:t>违反十不吊规定</w:t>
            </w:r>
          </w:p>
        </w:tc>
        <w:tc>
          <w:tcPr>
            <w:tcW w:w="1142" w:type="dxa"/>
            <w:gridSpan w:val="2"/>
            <w:noWrap w:val="0"/>
            <w:vAlign w:val="top"/>
          </w:tcPr>
          <w:p w14:paraId="278DA0C7">
            <w:pPr>
              <w:snapToGrid w:val="0"/>
              <w:jc w:val="center"/>
              <w:rPr>
                <w:color w:val="auto"/>
                <w:sz w:val="21"/>
                <w:szCs w:val="21"/>
                <w:highlight w:val="none"/>
                <w:u w:val="single"/>
              </w:rPr>
            </w:pPr>
          </w:p>
        </w:tc>
      </w:tr>
      <w:tr w14:paraId="723F235E">
        <w:tblPrEx>
          <w:tblCellMar>
            <w:top w:w="0" w:type="dxa"/>
            <w:left w:w="108" w:type="dxa"/>
            <w:bottom w:w="0" w:type="dxa"/>
            <w:right w:w="108" w:type="dxa"/>
          </w:tblCellMar>
        </w:tblPrEx>
        <w:trPr>
          <w:trHeight w:val="379" w:hRule="atLeast"/>
          <w:jc w:val="center"/>
        </w:trPr>
        <w:tc>
          <w:tcPr>
            <w:tcW w:w="9200" w:type="dxa"/>
            <w:gridSpan w:val="5"/>
            <w:noWrap w:val="0"/>
            <w:vAlign w:val="center"/>
          </w:tcPr>
          <w:p w14:paraId="22874349">
            <w:pPr>
              <w:snapToGrid w:val="0"/>
              <w:jc w:val="left"/>
              <w:rPr>
                <w:color w:val="auto"/>
                <w:sz w:val="21"/>
                <w:szCs w:val="21"/>
                <w:highlight w:val="none"/>
                <w:u w:val="single"/>
              </w:rPr>
            </w:pPr>
            <w:r>
              <w:rPr>
                <w:color w:val="auto"/>
                <w:sz w:val="21"/>
                <w:szCs w:val="21"/>
                <w:highlight w:val="none"/>
                <w:u w:val="single"/>
              </w:rPr>
              <w:t>6.消防及危险化学品     违反下列行为的给予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w:t>
            </w:r>
            <w:r>
              <w:rPr>
                <w:color w:val="auto"/>
                <w:sz w:val="21"/>
                <w:szCs w:val="21"/>
                <w:highlight w:val="none"/>
                <w:u w:val="single"/>
              </w:rPr>
              <w:t>000元考核</w:t>
            </w:r>
          </w:p>
        </w:tc>
      </w:tr>
      <w:tr w14:paraId="3795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84EECFA">
            <w:pPr>
              <w:snapToGrid w:val="0"/>
              <w:jc w:val="center"/>
              <w:rPr>
                <w:color w:val="auto"/>
                <w:sz w:val="21"/>
                <w:szCs w:val="21"/>
                <w:highlight w:val="none"/>
                <w:u w:val="single"/>
              </w:rPr>
            </w:pPr>
            <w:r>
              <w:rPr>
                <w:color w:val="auto"/>
                <w:sz w:val="21"/>
                <w:szCs w:val="21"/>
                <w:highlight w:val="none"/>
                <w:u w:val="single"/>
              </w:rPr>
              <w:t>6.1</w:t>
            </w:r>
          </w:p>
        </w:tc>
        <w:tc>
          <w:tcPr>
            <w:tcW w:w="7308" w:type="dxa"/>
            <w:noWrap w:val="0"/>
            <w:vAlign w:val="top"/>
          </w:tcPr>
          <w:p w14:paraId="0D22D29C">
            <w:pPr>
              <w:snapToGrid w:val="0"/>
              <w:rPr>
                <w:color w:val="auto"/>
                <w:sz w:val="21"/>
                <w:szCs w:val="21"/>
                <w:highlight w:val="none"/>
                <w:u w:val="single"/>
              </w:rPr>
            </w:pPr>
            <w:r>
              <w:rPr>
                <w:color w:val="auto"/>
                <w:sz w:val="21"/>
                <w:szCs w:val="21"/>
                <w:highlight w:val="none"/>
                <w:u w:val="single"/>
              </w:rPr>
              <w:t>在禁烟区内吸烟或流动吸烟的</w:t>
            </w:r>
          </w:p>
        </w:tc>
        <w:tc>
          <w:tcPr>
            <w:tcW w:w="1205" w:type="dxa"/>
            <w:gridSpan w:val="3"/>
            <w:noWrap w:val="0"/>
            <w:vAlign w:val="top"/>
          </w:tcPr>
          <w:p w14:paraId="1F58FF69">
            <w:pPr>
              <w:snapToGrid w:val="0"/>
              <w:jc w:val="center"/>
              <w:rPr>
                <w:color w:val="auto"/>
                <w:sz w:val="21"/>
                <w:szCs w:val="21"/>
                <w:highlight w:val="none"/>
                <w:u w:val="single"/>
              </w:rPr>
            </w:pPr>
          </w:p>
        </w:tc>
      </w:tr>
      <w:tr w14:paraId="75B2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E426D9C">
            <w:pPr>
              <w:snapToGrid w:val="0"/>
              <w:jc w:val="center"/>
              <w:rPr>
                <w:color w:val="auto"/>
                <w:sz w:val="21"/>
                <w:szCs w:val="21"/>
                <w:highlight w:val="none"/>
                <w:u w:val="single"/>
              </w:rPr>
            </w:pPr>
            <w:r>
              <w:rPr>
                <w:color w:val="auto"/>
                <w:sz w:val="21"/>
                <w:szCs w:val="21"/>
                <w:highlight w:val="none"/>
                <w:u w:val="single"/>
              </w:rPr>
              <w:t>6.2</w:t>
            </w:r>
          </w:p>
        </w:tc>
        <w:tc>
          <w:tcPr>
            <w:tcW w:w="7308" w:type="dxa"/>
            <w:noWrap w:val="0"/>
            <w:vAlign w:val="top"/>
          </w:tcPr>
          <w:p w14:paraId="72D53F81">
            <w:pPr>
              <w:snapToGrid w:val="0"/>
              <w:rPr>
                <w:color w:val="auto"/>
                <w:sz w:val="21"/>
                <w:szCs w:val="21"/>
                <w:highlight w:val="none"/>
                <w:u w:val="single"/>
              </w:rPr>
            </w:pPr>
            <w:r>
              <w:rPr>
                <w:color w:val="auto"/>
                <w:sz w:val="21"/>
                <w:szCs w:val="21"/>
                <w:highlight w:val="none"/>
                <w:u w:val="single"/>
              </w:rPr>
              <w:t>易燃易爆物品、有毒有害物品、射源未按规定进行隔离、存放；易燃爆炸危险作业场所未有消防设施或装置，未使用防爆电器，未有警告标志，使用前未经验收</w:t>
            </w:r>
          </w:p>
        </w:tc>
        <w:tc>
          <w:tcPr>
            <w:tcW w:w="1205" w:type="dxa"/>
            <w:gridSpan w:val="3"/>
            <w:noWrap w:val="0"/>
            <w:vAlign w:val="top"/>
          </w:tcPr>
          <w:p w14:paraId="383A9245">
            <w:pPr>
              <w:snapToGrid w:val="0"/>
              <w:jc w:val="center"/>
              <w:rPr>
                <w:color w:val="auto"/>
                <w:sz w:val="21"/>
                <w:szCs w:val="21"/>
                <w:highlight w:val="none"/>
                <w:u w:val="single"/>
              </w:rPr>
            </w:pPr>
          </w:p>
        </w:tc>
      </w:tr>
      <w:tr w14:paraId="01B5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73F94D3">
            <w:pPr>
              <w:snapToGrid w:val="0"/>
              <w:jc w:val="center"/>
              <w:rPr>
                <w:color w:val="auto"/>
                <w:sz w:val="21"/>
                <w:szCs w:val="21"/>
                <w:highlight w:val="none"/>
                <w:u w:val="single"/>
              </w:rPr>
            </w:pPr>
            <w:r>
              <w:rPr>
                <w:color w:val="auto"/>
                <w:sz w:val="21"/>
                <w:szCs w:val="21"/>
                <w:highlight w:val="none"/>
                <w:u w:val="single"/>
              </w:rPr>
              <w:t>6.3</w:t>
            </w:r>
          </w:p>
        </w:tc>
        <w:tc>
          <w:tcPr>
            <w:tcW w:w="7308" w:type="dxa"/>
            <w:noWrap w:val="0"/>
            <w:vAlign w:val="top"/>
          </w:tcPr>
          <w:p w14:paraId="3CE6AC7C">
            <w:pPr>
              <w:snapToGrid w:val="0"/>
              <w:rPr>
                <w:color w:val="auto"/>
                <w:sz w:val="21"/>
                <w:szCs w:val="21"/>
                <w:highlight w:val="none"/>
                <w:u w:val="single"/>
              </w:rPr>
            </w:pPr>
            <w:r>
              <w:rPr>
                <w:color w:val="auto"/>
                <w:sz w:val="21"/>
                <w:szCs w:val="21"/>
                <w:highlight w:val="none"/>
                <w:u w:val="single"/>
              </w:rPr>
              <w:t>临时仓库的耐火等级不符合防火要求</w:t>
            </w:r>
          </w:p>
        </w:tc>
        <w:tc>
          <w:tcPr>
            <w:tcW w:w="1205" w:type="dxa"/>
            <w:gridSpan w:val="3"/>
            <w:noWrap w:val="0"/>
            <w:vAlign w:val="top"/>
          </w:tcPr>
          <w:p w14:paraId="04CB5B33">
            <w:pPr>
              <w:snapToGrid w:val="0"/>
              <w:jc w:val="center"/>
              <w:rPr>
                <w:color w:val="auto"/>
                <w:sz w:val="21"/>
                <w:szCs w:val="21"/>
                <w:highlight w:val="none"/>
                <w:u w:val="single"/>
              </w:rPr>
            </w:pPr>
          </w:p>
        </w:tc>
      </w:tr>
      <w:tr w14:paraId="034C5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D4FF74F">
            <w:pPr>
              <w:snapToGrid w:val="0"/>
              <w:jc w:val="center"/>
              <w:rPr>
                <w:color w:val="auto"/>
                <w:sz w:val="21"/>
                <w:szCs w:val="21"/>
                <w:highlight w:val="none"/>
                <w:u w:val="single"/>
              </w:rPr>
            </w:pPr>
            <w:r>
              <w:rPr>
                <w:color w:val="auto"/>
                <w:sz w:val="21"/>
                <w:szCs w:val="21"/>
                <w:highlight w:val="none"/>
                <w:u w:val="single"/>
              </w:rPr>
              <w:t>6.4</w:t>
            </w:r>
          </w:p>
        </w:tc>
        <w:tc>
          <w:tcPr>
            <w:tcW w:w="7308" w:type="dxa"/>
            <w:noWrap w:val="0"/>
            <w:vAlign w:val="top"/>
          </w:tcPr>
          <w:p w14:paraId="0489127B">
            <w:pPr>
              <w:snapToGrid w:val="0"/>
              <w:rPr>
                <w:color w:val="auto"/>
                <w:sz w:val="21"/>
                <w:szCs w:val="21"/>
                <w:highlight w:val="none"/>
                <w:u w:val="single"/>
              </w:rPr>
            </w:pPr>
            <w:r>
              <w:rPr>
                <w:color w:val="auto"/>
                <w:sz w:val="21"/>
                <w:szCs w:val="21"/>
                <w:highlight w:val="none"/>
                <w:u w:val="single"/>
              </w:rPr>
              <w:t>仓库、宿舍、办公室、加工场、施工现场等场所不按规配置消防器材，移动、破坏消防设施或器材</w:t>
            </w:r>
          </w:p>
        </w:tc>
        <w:tc>
          <w:tcPr>
            <w:tcW w:w="1205" w:type="dxa"/>
            <w:gridSpan w:val="3"/>
            <w:noWrap w:val="0"/>
            <w:vAlign w:val="top"/>
          </w:tcPr>
          <w:p w14:paraId="7D11D92E">
            <w:pPr>
              <w:snapToGrid w:val="0"/>
              <w:jc w:val="center"/>
              <w:rPr>
                <w:color w:val="auto"/>
                <w:sz w:val="21"/>
                <w:szCs w:val="21"/>
                <w:highlight w:val="none"/>
                <w:u w:val="single"/>
              </w:rPr>
            </w:pPr>
          </w:p>
        </w:tc>
      </w:tr>
      <w:tr w14:paraId="0590D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B11B132">
            <w:pPr>
              <w:snapToGrid w:val="0"/>
              <w:jc w:val="center"/>
              <w:rPr>
                <w:color w:val="auto"/>
                <w:sz w:val="21"/>
                <w:szCs w:val="21"/>
                <w:highlight w:val="none"/>
                <w:u w:val="single"/>
              </w:rPr>
            </w:pPr>
            <w:r>
              <w:rPr>
                <w:color w:val="auto"/>
                <w:sz w:val="21"/>
                <w:szCs w:val="21"/>
                <w:highlight w:val="none"/>
                <w:u w:val="single"/>
              </w:rPr>
              <w:t>6.5</w:t>
            </w:r>
          </w:p>
        </w:tc>
        <w:tc>
          <w:tcPr>
            <w:tcW w:w="7308" w:type="dxa"/>
            <w:noWrap w:val="0"/>
            <w:vAlign w:val="top"/>
          </w:tcPr>
          <w:p w14:paraId="70F97193">
            <w:pPr>
              <w:snapToGrid w:val="0"/>
              <w:rPr>
                <w:color w:val="auto"/>
                <w:sz w:val="21"/>
                <w:szCs w:val="21"/>
                <w:highlight w:val="none"/>
                <w:u w:val="single"/>
              </w:rPr>
            </w:pPr>
            <w:r>
              <w:rPr>
                <w:color w:val="auto"/>
                <w:sz w:val="21"/>
                <w:szCs w:val="21"/>
                <w:highlight w:val="none"/>
                <w:u w:val="single"/>
              </w:rPr>
              <w:t>堵塞、阻碍消防通道或消防设施</w:t>
            </w:r>
          </w:p>
        </w:tc>
        <w:tc>
          <w:tcPr>
            <w:tcW w:w="1205" w:type="dxa"/>
            <w:gridSpan w:val="3"/>
            <w:noWrap w:val="0"/>
            <w:vAlign w:val="top"/>
          </w:tcPr>
          <w:p w14:paraId="69C1040C">
            <w:pPr>
              <w:snapToGrid w:val="0"/>
              <w:jc w:val="center"/>
              <w:rPr>
                <w:color w:val="auto"/>
                <w:sz w:val="21"/>
                <w:szCs w:val="21"/>
                <w:highlight w:val="none"/>
                <w:u w:val="single"/>
              </w:rPr>
            </w:pPr>
          </w:p>
        </w:tc>
      </w:tr>
      <w:tr w14:paraId="51E97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6F8EE4A">
            <w:pPr>
              <w:snapToGrid w:val="0"/>
              <w:jc w:val="center"/>
              <w:rPr>
                <w:color w:val="auto"/>
                <w:sz w:val="21"/>
                <w:szCs w:val="21"/>
                <w:highlight w:val="none"/>
                <w:u w:val="single"/>
              </w:rPr>
            </w:pPr>
            <w:r>
              <w:rPr>
                <w:color w:val="auto"/>
                <w:sz w:val="21"/>
                <w:szCs w:val="21"/>
                <w:highlight w:val="none"/>
                <w:u w:val="single"/>
              </w:rPr>
              <w:t>6.6</w:t>
            </w:r>
          </w:p>
        </w:tc>
        <w:tc>
          <w:tcPr>
            <w:tcW w:w="7308" w:type="dxa"/>
            <w:noWrap w:val="0"/>
            <w:vAlign w:val="top"/>
          </w:tcPr>
          <w:p w14:paraId="2F205BA5">
            <w:pPr>
              <w:snapToGrid w:val="0"/>
              <w:rPr>
                <w:color w:val="auto"/>
                <w:sz w:val="21"/>
                <w:szCs w:val="21"/>
                <w:highlight w:val="none"/>
                <w:u w:val="single"/>
              </w:rPr>
            </w:pPr>
            <w:r>
              <w:rPr>
                <w:color w:val="auto"/>
                <w:sz w:val="21"/>
                <w:szCs w:val="21"/>
                <w:highlight w:val="none"/>
                <w:u w:val="single"/>
              </w:rPr>
              <w:t>在易燃易爆物品附近动火作业间距不够</w:t>
            </w:r>
          </w:p>
        </w:tc>
        <w:tc>
          <w:tcPr>
            <w:tcW w:w="1205" w:type="dxa"/>
            <w:gridSpan w:val="3"/>
            <w:noWrap w:val="0"/>
            <w:vAlign w:val="top"/>
          </w:tcPr>
          <w:p w14:paraId="2DE9BB7F">
            <w:pPr>
              <w:snapToGrid w:val="0"/>
              <w:jc w:val="center"/>
              <w:rPr>
                <w:color w:val="auto"/>
                <w:sz w:val="21"/>
                <w:szCs w:val="21"/>
                <w:highlight w:val="none"/>
                <w:u w:val="single"/>
              </w:rPr>
            </w:pPr>
          </w:p>
        </w:tc>
      </w:tr>
      <w:tr w14:paraId="3CDB1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85B7C44">
            <w:pPr>
              <w:snapToGrid w:val="0"/>
              <w:jc w:val="center"/>
              <w:rPr>
                <w:color w:val="auto"/>
                <w:sz w:val="21"/>
                <w:szCs w:val="21"/>
                <w:highlight w:val="none"/>
                <w:u w:val="single"/>
              </w:rPr>
            </w:pPr>
            <w:r>
              <w:rPr>
                <w:color w:val="auto"/>
                <w:sz w:val="21"/>
                <w:szCs w:val="21"/>
                <w:highlight w:val="none"/>
                <w:u w:val="single"/>
              </w:rPr>
              <w:t>6.7</w:t>
            </w:r>
          </w:p>
        </w:tc>
        <w:tc>
          <w:tcPr>
            <w:tcW w:w="7308" w:type="dxa"/>
            <w:noWrap w:val="0"/>
            <w:vAlign w:val="top"/>
          </w:tcPr>
          <w:p w14:paraId="4A03BA2B">
            <w:pPr>
              <w:snapToGrid w:val="0"/>
              <w:rPr>
                <w:color w:val="auto"/>
                <w:sz w:val="21"/>
                <w:szCs w:val="21"/>
                <w:highlight w:val="none"/>
                <w:u w:val="single"/>
              </w:rPr>
            </w:pPr>
            <w:r>
              <w:rPr>
                <w:color w:val="auto"/>
                <w:sz w:val="21"/>
                <w:szCs w:val="21"/>
                <w:highlight w:val="none"/>
                <w:u w:val="single"/>
              </w:rPr>
              <w:t>爆破作业未有安全措施</w:t>
            </w:r>
          </w:p>
        </w:tc>
        <w:tc>
          <w:tcPr>
            <w:tcW w:w="1205" w:type="dxa"/>
            <w:gridSpan w:val="3"/>
            <w:noWrap w:val="0"/>
            <w:vAlign w:val="top"/>
          </w:tcPr>
          <w:p w14:paraId="664B6B7F">
            <w:pPr>
              <w:snapToGrid w:val="0"/>
              <w:jc w:val="center"/>
              <w:rPr>
                <w:color w:val="auto"/>
                <w:sz w:val="21"/>
                <w:szCs w:val="21"/>
                <w:highlight w:val="none"/>
                <w:u w:val="single"/>
              </w:rPr>
            </w:pPr>
          </w:p>
        </w:tc>
      </w:tr>
      <w:tr w14:paraId="6A69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9095DE9">
            <w:pPr>
              <w:snapToGrid w:val="0"/>
              <w:jc w:val="center"/>
              <w:rPr>
                <w:color w:val="auto"/>
                <w:sz w:val="21"/>
                <w:szCs w:val="21"/>
                <w:highlight w:val="none"/>
                <w:u w:val="single"/>
              </w:rPr>
            </w:pPr>
            <w:r>
              <w:rPr>
                <w:color w:val="auto"/>
                <w:sz w:val="21"/>
                <w:szCs w:val="21"/>
                <w:highlight w:val="none"/>
                <w:u w:val="single"/>
              </w:rPr>
              <w:t>6.8</w:t>
            </w:r>
          </w:p>
        </w:tc>
        <w:tc>
          <w:tcPr>
            <w:tcW w:w="7308" w:type="dxa"/>
            <w:noWrap w:val="0"/>
            <w:vAlign w:val="top"/>
          </w:tcPr>
          <w:p w14:paraId="5D588D6D">
            <w:pPr>
              <w:snapToGrid w:val="0"/>
              <w:rPr>
                <w:color w:val="auto"/>
                <w:sz w:val="21"/>
                <w:szCs w:val="21"/>
                <w:highlight w:val="none"/>
                <w:u w:val="single"/>
              </w:rPr>
            </w:pPr>
            <w:r>
              <w:rPr>
                <w:color w:val="auto"/>
                <w:sz w:val="21"/>
                <w:szCs w:val="21"/>
                <w:highlight w:val="none"/>
                <w:u w:val="single"/>
              </w:rPr>
              <w:t>现场使用明火进行取暖</w:t>
            </w:r>
          </w:p>
        </w:tc>
        <w:tc>
          <w:tcPr>
            <w:tcW w:w="1205" w:type="dxa"/>
            <w:gridSpan w:val="3"/>
            <w:noWrap w:val="0"/>
            <w:vAlign w:val="top"/>
          </w:tcPr>
          <w:p w14:paraId="64728DB4">
            <w:pPr>
              <w:snapToGrid w:val="0"/>
              <w:jc w:val="center"/>
              <w:rPr>
                <w:color w:val="auto"/>
                <w:sz w:val="21"/>
                <w:szCs w:val="21"/>
                <w:highlight w:val="none"/>
                <w:u w:val="single"/>
              </w:rPr>
            </w:pPr>
          </w:p>
        </w:tc>
      </w:tr>
      <w:tr w14:paraId="544C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3FA1F7B">
            <w:pPr>
              <w:snapToGrid w:val="0"/>
              <w:jc w:val="center"/>
              <w:rPr>
                <w:color w:val="auto"/>
                <w:sz w:val="21"/>
                <w:szCs w:val="21"/>
                <w:highlight w:val="none"/>
                <w:u w:val="single"/>
              </w:rPr>
            </w:pPr>
            <w:r>
              <w:rPr>
                <w:color w:val="auto"/>
                <w:sz w:val="21"/>
                <w:szCs w:val="21"/>
                <w:highlight w:val="none"/>
                <w:u w:val="single"/>
              </w:rPr>
              <w:t>6.9</w:t>
            </w:r>
          </w:p>
        </w:tc>
        <w:tc>
          <w:tcPr>
            <w:tcW w:w="7308" w:type="dxa"/>
            <w:noWrap w:val="0"/>
            <w:vAlign w:val="top"/>
          </w:tcPr>
          <w:p w14:paraId="5679B5B4">
            <w:pPr>
              <w:snapToGrid w:val="0"/>
              <w:rPr>
                <w:color w:val="auto"/>
                <w:sz w:val="21"/>
                <w:szCs w:val="21"/>
                <w:highlight w:val="none"/>
                <w:u w:val="single"/>
              </w:rPr>
            </w:pPr>
            <w:r>
              <w:rPr>
                <w:color w:val="auto"/>
                <w:sz w:val="21"/>
                <w:szCs w:val="21"/>
                <w:highlight w:val="none"/>
                <w:u w:val="single"/>
              </w:rPr>
              <w:t>炸药与雷管、乙炔与氧气等容易引起燃烧、爆炸和其他化学反应的物质同车运输或共同存放</w:t>
            </w:r>
          </w:p>
        </w:tc>
        <w:tc>
          <w:tcPr>
            <w:tcW w:w="1205" w:type="dxa"/>
            <w:gridSpan w:val="3"/>
            <w:noWrap w:val="0"/>
            <w:vAlign w:val="top"/>
          </w:tcPr>
          <w:p w14:paraId="5DCFF71B">
            <w:pPr>
              <w:snapToGrid w:val="0"/>
              <w:jc w:val="center"/>
              <w:rPr>
                <w:color w:val="auto"/>
                <w:sz w:val="21"/>
                <w:szCs w:val="21"/>
                <w:highlight w:val="none"/>
                <w:u w:val="single"/>
              </w:rPr>
            </w:pPr>
          </w:p>
        </w:tc>
      </w:tr>
      <w:tr w14:paraId="4614A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40707AB">
            <w:pPr>
              <w:snapToGrid w:val="0"/>
              <w:jc w:val="center"/>
              <w:rPr>
                <w:color w:val="auto"/>
                <w:sz w:val="21"/>
                <w:szCs w:val="21"/>
                <w:highlight w:val="none"/>
                <w:u w:val="single"/>
              </w:rPr>
            </w:pPr>
            <w:r>
              <w:rPr>
                <w:color w:val="auto"/>
                <w:sz w:val="21"/>
                <w:szCs w:val="21"/>
                <w:highlight w:val="none"/>
                <w:u w:val="single"/>
              </w:rPr>
              <w:t>6.10</w:t>
            </w:r>
          </w:p>
        </w:tc>
        <w:tc>
          <w:tcPr>
            <w:tcW w:w="7308" w:type="dxa"/>
            <w:noWrap w:val="0"/>
            <w:vAlign w:val="top"/>
          </w:tcPr>
          <w:p w14:paraId="1D37563F">
            <w:pPr>
              <w:snapToGrid w:val="0"/>
              <w:rPr>
                <w:color w:val="auto"/>
                <w:sz w:val="21"/>
                <w:szCs w:val="21"/>
                <w:highlight w:val="none"/>
                <w:u w:val="single"/>
              </w:rPr>
            </w:pPr>
            <w:r>
              <w:rPr>
                <w:color w:val="auto"/>
                <w:sz w:val="21"/>
                <w:szCs w:val="21"/>
                <w:highlight w:val="none"/>
                <w:u w:val="single"/>
              </w:rPr>
              <w:t>危险化学品装卸时未轻拿轻放，未采取防止撞击、倾倒措施</w:t>
            </w:r>
          </w:p>
        </w:tc>
        <w:tc>
          <w:tcPr>
            <w:tcW w:w="1205" w:type="dxa"/>
            <w:gridSpan w:val="3"/>
            <w:noWrap w:val="0"/>
            <w:vAlign w:val="top"/>
          </w:tcPr>
          <w:p w14:paraId="54E3031B">
            <w:pPr>
              <w:snapToGrid w:val="0"/>
              <w:jc w:val="center"/>
              <w:rPr>
                <w:color w:val="auto"/>
                <w:sz w:val="21"/>
                <w:szCs w:val="21"/>
                <w:highlight w:val="none"/>
                <w:u w:val="single"/>
              </w:rPr>
            </w:pPr>
          </w:p>
        </w:tc>
      </w:tr>
      <w:tr w14:paraId="1E85A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E1BD761">
            <w:pPr>
              <w:snapToGrid w:val="0"/>
              <w:jc w:val="center"/>
              <w:rPr>
                <w:color w:val="auto"/>
                <w:sz w:val="21"/>
                <w:szCs w:val="21"/>
                <w:highlight w:val="none"/>
                <w:u w:val="single"/>
              </w:rPr>
            </w:pPr>
            <w:r>
              <w:rPr>
                <w:color w:val="auto"/>
                <w:sz w:val="21"/>
                <w:szCs w:val="21"/>
                <w:highlight w:val="none"/>
                <w:u w:val="single"/>
              </w:rPr>
              <w:t>6.11</w:t>
            </w:r>
          </w:p>
        </w:tc>
        <w:tc>
          <w:tcPr>
            <w:tcW w:w="7308" w:type="dxa"/>
            <w:noWrap w:val="0"/>
            <w:vAlign w:val="top"/>
          </w:tcPr>
          <w:p w14:paraId="08956B6B">
            <w:pPr>
              <w:snapToGrid w:val="0"/>
              <w:rPr>
                <w:color w:val="auto"/>
                <w:sz w:val="21"/>
                <w:szCs w:val="21"/>
                <w:highlight w:val="none"/>
                <w:u w:val="single"/>
              </w:rPr>
            </w:pPr>
            <w:r>
              <w:rPr>
                <w:color w:val="auto"/>
                <w:sz w:val="21"/>
                <w:szCs w:val="21"/>
                <w:highlight w:val="none"/>
                <w:u w:val="single"/>
              </w:rPr>
              <w:t>射线作业未经审批，各通道未挂警示标志，未设专人监护，作业人员未戴防护用品</w:t>
            </w:r>
          </w:p>
        </w:tc>
        <w:tc>
          <w:tcPr>
            <w:tcW w:w="1205" w:type="dxa"/>
            <w:gridSpan w:val="3"/>
            <w:noWrap w:val="0"/>
            <w:vAlign w:val="top"/>
          </w:tcPr>
          <w:p w14:paraId="66B72E9B">
            <w:pPr>
              <w:snapToGrid w:val="0"/>
              <w:jc w:val="center"/>
              <w:rPr>
                <w:color w:val="auto"/>
                <w:sz w:val="21"/>
                <w:szCs w:val="21"/>
                <w:highlight w:val="none"/>
                <w:u w:val="single"/>
              </w:rPr>
            </w:pPr>
          </w:p>
        </w:tc>
      </w:tr>
      <w:tr w14:paraId="285FE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0833744">
            <w:pPr>
              <w:snapToGrid w:val="0"/>
              <w:jc w:val="center"/>
              <w:rPr>
                <w:color w:val="auto"/>
                <w:sz w:val="21"/>
                <w:szCs w:val="21"/>
                <w:highlight w:val="none"/>
                <w:u w:val="single"/>
              </w:rPr>
            </w:pPr>
            <w:r>
              <w:rPr>
                <w:color w:val="auto"/>
                <w:sz w:val="21"/>
                <w:szCs w:val="21"/>
                <w:highlight w:val="none"/>
                <w:u w:val="single"/>
              </w:rPr>
              <w:t>6.12</w:t>
            </w:r>
          </w:p>
        </w:tc>
        <w:tc>
          <w:tcPr>
            <w:tcW w:w="7308" w:type="dxa"/>
            <w:noWrap w:val="0"/>
            <w:vAlign w:val="top"/>
          </w:tcPr>
          <w:p w14:paraId="797DF0EE">
            <w:pPr>
              <w:snapToGrid w:val="0"/>
              <w:rPr>
                <w:color w:val="auto"/>
                <w:sz w:val="21"/>
                <w:szCs w:val="21"/>
                <w:highlight w:val="none"/>
                <w:u w:val="single"/>
              </w:rPr>
            </w:pPr>
            <w:r>
              <w:rPr>
                <w:color w:val="auto"/>
                <w:sz w:val="21"/>
                <w:szCs w:val="21"/>
                <w:highlight w:val="none"/>
                <w:u w:val="single"/>
              </w:rPr>
              <w:t>未按规定使用危险化学品</w:t>
            </w:r>
          </w:p>
        </w:tc>
        <w:tc>
          <w:tcPr>
            <w:tcW w:w="1205" w:type="dxa"/>
            <w:gridSpan w:val="3"/>
            <w:noWrap w:val="0"/>
            <w:vAlign w:val="top"/>
          </w:tcPr>
          <w:p w14:paraId="7522CF41">
            <w:pPr>
              <w:snapToGrid w:val="0"/>
              <w:jc w:val="center"/>
              <w:rPr>
                <w:color w:val="auto"/>
                <w:sz w:val="21"/>
                <w:szCs w:val="21"/>
                <w:highlight w:val="none"/>
                <w:u w:val="single"/>
              </w:rPr>
            </w:pPr>
          </w:p>
        </w:tc>
      </w:tr>
      <w:tr w14:paraId="41A9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0" w:type="dxa"/>
            <w:gridSpan w:val="5"/>
            <w:noWrap w:val="0"/>
            <w:vAlign w:val="top"/>
          </w:tcPr>
          <w:p w14:paraId="66941219">
            <w:pPr>
              <w:snapToGrid w:val="0"/>
              <w:jc w:val="left"/>
              <w:rPr>
                <w:color w:val="auto"/>
                <w:sz w:val="21"/>
                <w:szCs w:val="21"/>
                <w:highlight w:val="none"/>
                <w:u w:val="single"/>
              </w:rPr>
            </w:pPr>
            <w:r>
              <w:rPr>
                <w:color w:val="auto"/>
                <w:sz w:val="21"/>
                <w:szCs w:val="21"/>
                <w:highlight w:val="none"/>
                <w:u w:val="single"/>
              </w:rPr>
              <w:t>7.</w:t>
            </w:r>
            <w:r>
              <w:rPr>
                <w:rFonts w:hint="eastAsia"/>
                <w:color w:val="auto"/>
                <w:sz w:val="21"/>
                <w:szCs w:val="21"/>
                <w:highlight w:val="none"/>
                <w:u w:val="single"/>
              </w:rPr>
              <w:t>有限空间作业</w:t>
            </w:r>
            <w:r>
              <w:rPr>
                <w:color w:val="auto"/>
                <w:sz w:val="21"/>
                <w:szCs w:val="21"/>
                <w:highlight w:val="none"/>
                <w:u w:val="single"/>
              </w:rPr>
              <w:t xml:space="preserve">    违反下列行为给予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w:t>
            </w:r>
            <w:r>
              <w:rPr>
                <w:color w:val="auto"/>
                <w:sz w:val="21"/>
                <w:szCs w:val="21"/>
                <w:highlight w:val="none"/>
                <w:u w:val="single"/>
              </w:rPr>
              <w:t>000元处罚</w:t>
            </w:r>
          </w:p>
        </w:tc>
      </w:tr>
      <w:tr w14:paraId="3294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E58885E">
            <w:pPr>
              <w:snapToGrid w:val="0"/>
              <w:jc w:val="center"/>
              <w:rPr>
                <w:color w:val="auto"/>
                <w:sz w:val="21"/>
                <w:szCs w:val="21"/>
                <w:highlight w:val="none"/>
                <w:u w:val="single"/>
              </w:rPr>
            </w:pPr>
            <w:r>
              <w:rPr>
                <w:rFonts w:hint="eastAsia"/>
                <w:color w:val="auto"/>
                <w:sz w:val="21"/>
                <w:szCs w:val="21"/>
                <w:highlight w:val="none"/>
                <w:u w:val="single"/>
              </w:rPr>
              <w:t>7.1</w:t>
            </w:r>
          </w:p>
        </w:tc>
        <w:tc>
          <w:tcPr>
            <w:tcW w:w="7308" w:type="dxa"/>
            <w:noWrap w:val="0"/>
            <w:vAlign w:val="top"/>
          </w:tcPr>
          <w:p w14:paraId="0BE14B3B">
            <w:pPr>
              <w:snapToGrid w:val="0"/>
              <w:rPr>
                <w:color w:val="auto"/>
                <w:sz w:val="21"/>
                <w:szCs w:val="21"/>
                <w:highlight w:val="none"/>
                <w:u w:val="single"/>
              </w:rPr>
            </w:pPr>
            <w:r>
              <w:rPr>
                <w:rFonts w:hint="eastAsia"/>
                <w:color w:val="auto"/>
                <w:sz w:val="21"/>
                <w:szCs w:val="21"/>
                <w:highlight w:val="none"/>
                <w:u w:val="single"/>
              </w:rPr>
              <w:t>作业前，未对有限空间进行危险和有害因素辨识，未制定安全技术措施，未制定紧急情况下的处置方案</w:t>
            </w:r>
          </w:p>
        </w:tc>
        <w:tc>
          <w:tcPr>
            <w:tcW w:w="1205" w:type="dxa"/>
            <w:gridSpan w:val="3"/>
            <w:noWrap w:val="0"/>
            <w:vAlign w:val="top"/>
          </w:tcPr>
          <w:p w14:paraId="022DFD0C">
            <w:pPr>
              <w:snapToGrid w:val="0"/>
              <w:jc w:val="center"/>
              <w:rPr>
                <w:color w:val="auto"/>
                <w:sz w:val="21"/>
                <w:szCs w:val="21"/>
                <w:highlight w:val="none"/>
                <w:u w:val="single"/>
              </w:rPr>
            </w:pPr>
          </w:p>
        </w:tc>
      </w:tr>
      <w:tr w14:paraId="012C3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19FD1B1">
            <w:pPr>
              <w:snapToGrid w:val="0"/>
              <w:jc w:val="center"/>
              <w:rPr>
                <w:color w:val="auto"/>
                <w:sz w:val="21"/>
                <w:szCs w:val="21"/>
                <w:highlight w:val="none"/>
                <w:u w:val="single"/>
              </w:rPr>
            </w:pPr>
            <w:r>
              <w:rPr>
                <w:rFonts w:hint="eastAsia"/>
                <w:color w:val="auto"/>
                <w:sz w:val="21"/>
                <w:szCs w:val="21"/>
                <w:highlight w:val="none"/>
                <w:u w:val="single"/>
              </w:rPr>
              <w:t>7.2</w:t>
            </w:r>
          </w:p>
        </w:tc>
        <w:tc>
          <w:tcPr>
            <w:tcW w:w="7308" w:type="dxa"/>
            <w:noWrap w:val="0"/>
            <w:vAlign w:val="top"/>
          </w:tcPr>
          <w:p w14:paraId="00C142BB">
            <w:pPr>
              <w:snapToGrid w:val="0"/>
              <w:rPr>
                <w:color w:val="auto"/>
                <w:sz w:val="21"/>
                <w:szCs w:val="21"/>
                <w:highlight w:val="none"/>
                <w:u w:val="single"/>
              </w:rPr>
            </w:pPr>
            <w:r>
              <w:rPr>
                <w:rFonts w:hint="eastAsia"/>
                <w:color w:val="auto"/>
                <w:sz w:val="21"/>
                <w:szCs w:val="21"/>
                <w:highlight w:val="none"/>
                <w:u w:val="single"/>
              </w:rPr>
              <w:t>有限空间作业没有办理审批许可手续</w:t>
            </w:r>
          </w:p>
        </w:tc>
        <w:tc>
          <w:tcPr>
            <w:tcW w:w="1205" w:type="dxa"/>
            <w:gridSpan w:val="3"/>
            <w:noWrap w:val="0"/>
            <w:vAlign w:val="top"/>
          </w:tcPr>
          <w:p w14:paraId="21F38175">
            <w:pPr>
              <w:snapToGrid w:val="0"/>
              <w:jc w:val="center"/>
              <w:rPr>
                <w:color w:val="auto"/>
                <w:sz w:val="21"/>
                <w:szCs w:val="21"/>
                <w:highlight w:val="none"/>
                <w:u w:val="single"/>
              </w:rPr>
            </w:pPr>
          </w:p>
        </w:tc>
      </w:tr>
      <w:tr w14:paraId="724030A8">
        <w:tblPrEx>
          <w:tblCellMar>
            <w:top w:w="0" w:type="dxa"/>
            <w:left w:w="108" w:type="dxa"/>
            <w:bottom w:w="0" w:type="dxa"/>
            <w:right w:w="108" w:type="dxa"/>
          </w:tblCellMar>
        </w:tblPrEx>
        <w:trPr>
          <w:jc w:val="center"/>
        </w:trPr>
        <w:tc>
          <w:tcPr>
            <w:tcW w:w="687" w:type="dxa"/>
            <w:noWrap w:val="0"/>
            <w:vAlign w:val="top"/>
          </w:tcPr>
          <w:p w14:paraId="5D5CDA97">
            <w:pPr>
              <w:snapToGrid w:val="0"/>
              <w:jc w:val="center"/>
              <w:rPr>
                <w:color w:val="auto"/>
                <w:sz w:val="21"/>
                <w:szCs w:val="21"/>
                <w:highlight w:val="none"/>
                <w:u w:val="single"/>
              </w:rPr>
            </w:pPr>
            <w:r>
              <w:rPr>
                <w:rFonts w:hint="eastAsia"/>
                <w:color w:val="auto"/>
                <w:sz w:val="21"/>
                <w:szCs w:val="21"/>
                <w:highlight w:val="none"/>
                <w:u w:val="single"/>
              </w:rPr>
              <w:t>7.3</w:t>
            </w:r>
          </w:p>
        </w:tc>
        <w:tc>
          <w:tcPr>
            <w:tcW w:w="7308" w:type="dxa"/>
            <w:noWrap w:val="0"/>
            <w:vAlign w:val="top"/>
          </w:tcPr>
          <w:p w14:paraId="1ECEAA6E">
            <w:pPr>
              <w:snapToGrid w:val="0"/>
              <w:rPr>
                <w:color w:val="auto"/>
                <w:sz w:val="21"/>
                <w:szCs w:val="21"/>
                <w:highlight w:val="none"/>
                <w:u w:val="single"/>
              </w:rPr>
            </w:pPr>
            <w:r>
              <w:rPr>
                <w:rFonts w:hint="eastAsia"/>
                <w:color w:val="auto"/>
                <w:sz w:val="21"/>
                <w:szCs w:val="21"/>
                <w:highlight w:val="none"/>
                <w:u w:val="single"/>
              </w:rPr>
              <w:t>有限空间作业前，没有对有限空间内部可燃或有毒、有害气体浓度进行检测；作业过程或作业中断时，没有按照每隔30分钟测量一次</w:t>
            </w:r>
          </w:p>
        </w:tc>
        <w:tc>
          <w:tcPr>
            <w:tcW w:w="1205" w:type="dxa"/>
            <w:gridSpan w:val="3"/>
            <w:noWrap w:val="0"/>
            <w:vAlign w:val="top"/>
          </w:tcPr>
          <w:p w14:paraId="06D07EFA">
            <w:pPr>
              <w:snapToGrid w:val="0"/>
              <w:jc w:val="center"/>
              <w:rPr>
                <w:color w:val="auto"/>
                <w:sz w:val="21"/>
                <w:szCs w:val="21"/>
                <w:highlight w:val="none"/>
                <w:u w:val="single"/>
              </w:rPr>
            </w:pPr>
          </w:p>
        </w:tc>
      </w:tr>
      <w:tr w14:paraId="7720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5236323">
            <w:pPr>
              <w:snapToGrid w:val="0"/>
              <w:jc w:val="center"/>
              <w:rPr>
                <w:color w:val="auto"/>
                <w:sz w:val="21"/>
                <w:szCs w:val="21"/>
                <w:highlight w:val="none"/>
                <w:u w:val="single"/>
              </w:rPr>
            </w:pPr>
            <w:r>
              <w:rPr>
                <w:rFonts w:hint="eastAsia"/>
                <w:color w:val="auto"/>
                <w:sz w:val="21"/>
                <w:szCs w:val="21"/>
                <w:highlight w:val="none"/>
                <w:u w:val="single"/>
              </w:rPr>
              <w:t>7.4</w:t>
            </w:r>
          </w:p>
        </w:tc>
        <w:tc>
          <w:tcPr>
            <w:tcW w:w="7308" w:type="dxa"/>
            <w:noWrap w:val="0"/>
            <w:vAlign w:val="top"/>
          </w:tcPr>
          <w:p w14:paraId="208C3BF3">
            <w:pPr>
              <w:snapToGrid w:val="0"/>
              <w:rPr>
                <w:color w:val="auto"/>
                <w:sz w:val="21"/>
                <w:szCs w:val="21"/>
                <w:highlight w:val="none"/>
                <w:u w:val="single"/>
              </w:rPr>
            </w:pPr>
            <w:r>
              <w:rPr>
                <w:rFonts w:hint="eastAsia"/>
                <w:color w:val="auto"/>
                <w:sz w:val="21"/>
                <w:szCs w:val="21"/>
                <w:highlight w:val="none"/>
                <w:u w:val="single"/>
              </w:rPr>
              <w:t>有限空间与其他系统连通的可能危及安全作业的管道没有采取有效隔离措施，有毒、有害气体可能通过管道进入有限空间</w:t>
            </w:r>
          </w:p>
        </w:tc>
        <w:tc>
          <w:tcPr>
            <w:tcW w:w="1205" w:type="dxa"/>
            <w:gridSpan w:val="3"/>
            <w:noWrap w:val="0"/>
            <w:vAlign w:val="top"/>
          </w:tcPr>
          <w:p w14:paraId="7FCE6C13">
            <w:pPr>
              <w:snapToGrid w:val="0"/>
              <w:jc w:val="center"/>
              <w:rPr>
                <w:color w:val="auto"/>
                <w:sz w:val="21"/>
                <w:szCs w:val="21"/>
                <w:highlight w:val="none"/>
                <w:u w:val="single"/>
              </w:rPr>
            </w:pPr>
          </w:p>
        </w:tc>
      </w:tr>
      <w:tr w14:paraId="38A7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E6BAEF0">
            <w:pPr>
              <w:snapToGrid w:val="0"/>
              <w:jc w:val="center"/>
              <w:rPr>
                <w:color w:val="auto"/>
                <w:sz w:val="21"/>
                <w:szCs w:val="21"/>
                <w:highlight w:val="none"/>
                <w:u w:val="single"/>
              </w:rPr>
            </w:pPr>
            <w:r>
              <w:rPr>
                <w:rFonts w:hint="eastAsia"/>
                <w:color w:val="auto"/>
                <w:sz w:val="21"/>
                <w:szCs w:val="21"/>
                <w:highlight w:val="none"/>
                <w:u w:val="single"/>
              </w:rPr>
              <w:t>7.5</w:t>
            </w:r>
          </w:p>
        </w:tc>
        <w:tc>
          <w:tcPr>
            <w:tcW w:w="7308" w:type="dxa"/>
            <w:noWrap w:val="0"/>
            <w:vAlign w:val="top"/>
          </w:tcPr>
          <w:p w14:paraId="2EE8211A">
            <w:pPr>
              <w:snapToGrid w:val="0"/>
              <w:rPr>
                <w:color w:val="auto"/>
                <w:sz w:val="21"/>
                <w:szCs w:val="21"/>
                <w:highlight w:val="none"/>
                <w:u w:val="single"/>
              </w:rPr>
            </w:pPr>
            <w:r>
              <w:rPr>
                <w:rFonts w:hint="eastAsia"/>
                <w:color w:val="auto"/>
                <w:sz w:val="21"/>
                <w:szCs w:val="21"/>
                <w:highlight w:val="none"/>
                <w:u w:val="single"/>
              </w:rPr>
              <w:t>满足有限空间安全需要的通风换气设施、人员逃生救援装备、防止火灾和塌方等设备设施不齐全</w:t>
            </w:r>
          </w:p>
        </w:tc>
        <w:tc>
          <w:tcPr>
            <w:tcW w:w="1205" w:type="dxa"/>
            <w:gridSpan w:val="3"/>
            <w:noWrap w:val="0"/>
            <w:vAlign w:val="top"/>
          </w:tcPr>
          <w:p w14:paraId="51CCF24C">
            <w:pPr>
              <w:snapToGrid w:val="0"/>
              <w:jc w:val="center"/>
              <w:rPr>
                <w:color w:val="auto"/>
                <w:sz w:val="21"/>
                <w:szCs w:val="21"/>
                <w:highlight w:val="none"/>
                <w:u w:val="single"/>
              </w:rPr>
            </w:pPr>
          </w:p>
        </w:tc>
      </w:tr>
      <w:tr w14:paraId="5B0EB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331094A">
            <w:pPr>
              <w:snapToGrid w:val="0"/>
              <w:jc w:val="center"/>
              <w:rPr>
                <w:color w:val="auto"/>
                <w:sz w:val="21"/>
                <w:szCs w:val="21"/>
                <w:highlight w:val="none"/>
                <w:u w:val="single"/>
              </w:rPr>
            </w:pPr>
            <w:r>
              <w:rPr>
                <w:rFonts w:hint="eastAsia"/>
                <w:color w:val="auto"/>
                <w:sz w:val="21"/>
                <w:szCs w:val="21"/>
                <w:highlight w:val="none"/>
                <w:u w:val="single"/>
              </w:rPr>
              <w:t>7.6</w:t>
            </w:r>
          </w:p>
        </w:tc>
        <w:tc>
          <w:tcPr>
            <w:tcW w:w="7308" w:type="dxa"/>
            <w:noWrap w:val="0"/>
            <w:vAlign w:val="top"/>
          </w:tcPr>
          <w:p w14:paraId="35447B4A">
            <w:pPr>
              <w:snapToGrid w:val="0"/>
              <w:rPr>
                <w:color w:val="auto"/>
                <w:sz w:val="21"/>
                <w:szCs w:val="21"/>
                <w:highlight w:val="none"/>
                <w:u w:val="single"/>
              </w:rPr>
            </w:pPr>
            <w:r>
              <w:rPr>
                <w:rFonts w:hint="eastAsia"/>
                <w:color w:val="auto"/>
                <w:sz w:val="21"/>
                <w:szCs w:val="21"/>
                <w:highlight w:val="none"/>
                <w:u w:val="single"/>
              </w:rPr>
              <w:t>有限空间作业区域无安全警示标志，出入口不畅通</w:t>
            </w:r>
          </w:p>
        </w:tc>
        <w:tc>
          <w:tcPr>
            <w:tcW w:w="1205" w:type="dxa"/>
            <w:gridSpan w:val="3"/>
            <w:noWrap w:val="0"/>
            <w:vAlign w:val="top"/>
          </w:tcPr>
          <w:p w14:paraId="47A94342">
            <w:pPr>
              <w:snapToGrid w:val="0"/>
              <w:jc w:val="center"/>
              <w:rPr>
                <w:color w:val="auto"/>
                <w:sz w:val="21"/>
                <w:szCs w:val="21"/>
                <w:highlight w:val="none"/>
                <w:u w:val="single"/>
              </w:rPr>
            </w:pPr>
          </w:p>
        </w:tc>
      </w:tr>
      <w:tr w14:paraId="174C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DF49D0F">
            <w:pPr>
              <w:snapToGrid w:val="0"/>
              <w:jc w:val="center"/>
              <w:rPr>
                <w:color w:val="auto"/>
                <w:sz w:val="21"/>
                <w:szCs w:val="21"/>
                <w:highlight w:val="none"/>
                <w:u w:val="single"/>
              </w:rPr>
            </w:pPr>
            <w:r>
              <w:rPr>
                <w:rFonts w:hint="eastAsia"/>
                <w:color w:val="auto"/>
                <w:sz w:val="21"/>
                <w:szCs w:val="21"/>
                <w:highlight w:val="none"/>
                <w:u w:val="single"/>
              </w:rPr>
              <w:t>7.7</w:t>
            </w:r>
          </w:p>
        </w:tc>
        <w:tc>
          <w:tcPr>
            <w:tcW w:w="7308" w:type="dxa"/>
            <w:noWrap w:val="0"/>
            <w:vAlign w:val="top"/>
          </w:tcPr>
          <w:p w14:paraId="4A686700">
            <w:pPr>
              <w:snapToGrid w:val="0"/>
              <w:rPr>
                <w:color w:val="auto"/>
                <w:sz w:val="21"/>
                <w:szCs w:val="21"/>
                <w:highlight w:val="none"/>
                <w:u w:val="single"/>
              </w:rPr>
            </w:pPr>
            <w:r>
              <w:rPr>
                <w:rFonts w:hint="eastAsia"/>
                <w:color w:val="auto"/>
                <w:sz w:val="21"/>
                <w:szCs w:val="21"/>
                <w:highlight w:val="none"/>
                <w:u w:val="single"/>
              </w:rPr>
              <w:t>作业时未设置专职监护人员，或监护人员私自离开</w:t>
            </w:r>
          </w:p>
        </w:tc>
        <w:tc>
          <w:tcPr>
            <w:tcW w:w="1205" w:type="dxa"/>
            <w:gridSpan w:val="3"/>
            <w:noWrap w:val="0"/>
            <w:vAlign w:val="top"/>
          </w:tcPr>
          <w:p w14:paraId="5D23FD00">
            <w:pPr>
              <w:snapToGrid w:val="0"/>
              <w:jc w:val="center"/>
              <w:rPr>
                <w:color w:val="auto"/>
                <w:sz w:val="21"/>
                <w:szCs w:val="21"/>
                <w:highlight w:val="none"/>
                <w:u w:val="single"/>
              </w:rPr>
            </w:pPr>
          </w:p>
        </w:tc>
      </w:tr>
      <w:tr w14:paraId="0843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BB132BB">
            <w:pPr>
              <w:snapToGrid w:val="0"/>
              <w:jc w:val="center"/>
              <w:rPr>
                <w:color w:val="auto"/>
                <w:sz w:val="21"/>
                <w:szCs w:val="21"/>
                <w:highlight w:val="none"/>
                <w:u w:val="single"/>
              </w:rPr>
            </w:pPr>
            <w:r>
              <w:rPr>
                <w:rFonts w:hint="eastAsia"/>
                <w:color w:val="auto"/>
                <w:sz w:val="21"/>
                <w:szCs w:val="21"/>
                <w:highlight w:val="none"/>
                <w:u w:val="single"/>
              </w:rPr>
              <w:t>7.8</w:t>
            </w:r>
          </w:p>
        </w:tc>
        <w:tc>
          <w:tcPr>
            <w:tcW w:w="7308" w:type="dxa"/>
            <w:noWrap w:val="0"/>
            <w:vAlign w:val="top"/>
          </w:tcPr>
          <w:p w14:paraId="01480A96">
            <w:pPr>
              <w:snapToGrid w:val="0"/>
              <w:rPr>
                <w:rFonts w:hint="eastAsia"/>
                <w:color w:val="auto"/>
                <w:sz w:val="21"/>
                <w:szCs w:val="21"/>
                <w:highlight w:val="none"/>
                <w:u w:val="single"/>
              </w:rPr>
            </w:pPr>
            <w:r>
              <w:rPr>
                <w:rFonts w:hint="eastAsia"/>
                <w:color w:val="auto"/>
                <w:sz w:val="21"/>
                <w:szCs w:val="21"/>
                <w:highlight w:val="none"/>
                <w:u w:val="single"/>
              </w:rPr>
              <w:t>有限空间内没有使用36V电压以下的照明，在潮湿、狭小有限空间内作业没有使用12V电压照明。</w:t>
            </w:r>
          </w:p>
        </w:tc>
        <w:tc>
          <w:tcPr>
            <w:tcW w:w="1205" w:type="dxa"/>
            <w:gridSpan w:val="3"/>
            <w:noWrap w:val="0"/>
            <w:vAlign w:val="top"/>
          </w:tcPr>
          <w:p w14:paraId="03414468">
            <w:pPr>
              <w:snapToGrid w:val="0"/>
              <w:jc w:val="center"/>
              <w:rPr>
                <w:color w:val="auto"/>
                <w:sz w:val="21"/>
                <w:szCs w:val="21"/>
                <w:highlight w:val="none"/>
                <w:u w:val="single"/>
              </w:rPr>
            </w:pPr>
          </w:p>
        </w:tc>
      </w:tr>
      <w:tr w14:paraId="7A57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A6649FA">
            <w:pPr>
              <w:snapToGrid w:val="0"/>
              <w:jc w:val="center"/>
              <w:rPr>
                <w:color w:val="auto"/>
                <w:sz w:val="21"/>
                <w:szCs w:val="21"/>
                <w:highlight w:val="none"/>
                <w:u w:val="single"/>
              </w:rPr>
            </w:pPr>
            <w:r>
              <w:rPr>
                <w:rFonts w:hint="eastAsia"/>
                <w:color w:val="auto"/>
                <w:sz w:val="21"/>
                <w:szCs w:val="21"/>
                <w:highlight w:val="none"/>
                <w:u w:val="single"/>
              </w:rPr>
              <w:t>7.9</w:t>
            </w:r>
          </w:p>
        </w:tc>
        <w:tc>
          <w:tcPr>
            <w:tcW w:w="7308" w:type="dxa"/>
            <w:noWrap w:val="0"/>
            <w:vAlign w:val="top"/>
          </w:tcPr>
          <w:p w14:paraId="7225EF4F">
            <w:pPr>
              <w:snapToGrid w:val="0"/>
              <w:rPr>
                <w:rFonts w:hint="eastAsia"/>
                <w:color w:val="auto"/>
                <w:sz w:val="21"/>
                <w:szCs w:val="21"/>
                <w:highlight w:val="none"/>
                <w:u w:val="single"/>
              </w:rPr>
            </w:pPr>
            <w:r>
              <w:rPr>
                <w:rFonts w:hint="eastAsia"/>
                <w:color w:val="auto"/>
                <w:sz w:val="21"/>
                <w:szCs w:val="21"/>
                <w:highlight w:val="none"/>
                <w:u w:val="single"/>
              </w:rPr>
              <w:t>违规将行灯照明的隔离变压器带进受限空间内使用</w:t>
            </w:r>
          </w:p>
        </w:tc>
        <w:tc>
          <w:tcPr>
            <w:tcW w:w="1205" w:type="dxa"/>
            <w:gridSpan w:val="3"/>
            <w:noWrap w:val="0"/>
            <w:vAlign w:val="top"/>
          </w:tcPr>
          <w:p w14:paraId="57ECED30">
            <w:pPr>
              <w:snapToGrid w:val="0"/>
              <w:jc w:val="center"/>
              <w:rPr>
                <w:color w:val="auto"/>
                <w:sz w:val="21"/>
                <w:szCs w:val="21"/>
                <w:highlight w:val="none"/>
                <w:u w:val="single"/>
              </w:rPr>
            </w:pPr>
          </w:p>
        </w:tc>
      </w:tr>
      <w:tr w14:paraId="50284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F312235">
            <w:pPr>
              <w:snapToGrid w:val="0"/>
              <w:jc w:val="center"/>
              <w:rPr>
                <w:color w:val="auto"/>
                <w:sz w:val="21"/>
                <w:szCs w:val="21"/>
                <w:highlight w:val="none"/>
                <w:u w:val="single"/>
              </w:rPr>
            </w:pPr>
            <w:r>
              <w:rPr>
                <w:rFonts w:hint="eastAsia"/>
                <w:color w:val="auto"/>
                <w:sz w:val="21"/>
                <w:szCs w:val="21"/>
                <w:highlight w:val="none"/>
                <w:u w:val="single"/>
              </w:rPr>
              <w:t>7.10</w:t>
            </w:r>
          </w:p>
        </w:tc>
        <w:tc>
          <w:tcPr>
            <w:tcW w:w="7308" w:type="dxa"/>
            <w:noWrap w:val="0"/>
            <w:vAlign w:val="top"/>
          </w:tcPr>
          <w:p w14:paraId="79258C79">
            <w:pPr>
              <w:snapToGrid w:val="0"/>
              <w:rPr>
                <w:rFonts w:hint="eastAsia"/>
                <w:color w:val="auto"/>
                <w:sz w:val="21"/>
                <w:szCs w:val="21"/>
                <w:highlight w:val="none"/>
                <w:u w:val="single"/>
              </w:rPr>
            </w:pPr>
            <w:r>
              <w:rPr>
                <w:rFonts w:hint="eastAsia"/>
                <w:color w:val="auto"/>
                <w:sz w:val="21"/>
                <w:szCs w:val="21"/>
                <w:highlight w:val="none"/>
                <w:u w:val="single"/>
              </w:rPr>
              <w:t>违规将氧气、乙炔等压力气瓶放置在有限空间内</w:t>
            </w:r>
          </w:p>
        </w:tc>
        <w:tc>
          <w:tcPr>
            <w:tcW w:w="1205" w:type="dxa"/>
            <w:gridSpan w:val="3"/>
            <w:noWrap w:val="0"/>
            <w:vAlign w:val="top"/>
          </w:tcPr>
          <w:p w14:paraId="0F9B0A72">
            <w:pPr>
              <w:snapToGrid w:val="0"/>
              <w:jc w:val="center"/>
              <w:rPr>
                <w:color w:val="auto"/>
                <w:sz w:val="21"/>
                <w:szCs w:val="21"/>
                <w:highlight w:val="none"/>
                <w:u w:val="single"/>
              </w:rPr>
            </w:pPr>
          </w:p>
        </w:tc>
      </w:tr>
      <w:tr w14:paraId="4B9C5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center"/>
          </w:tcPr>
          <w:p w14:paraId="63BBD546">
            <w:pPr>
              <w:snapToGrid w:val="0"/>
              <w:jc w:val="center"/>
              <w:rPr>
                <w:color w:val="auto"/>
                <w:sz w:val="21"/>
                <w:szCs w:val="21"/>
                <w:highlight w:val="none"/>
                <w:u w:val="single"/>
              </w:rPr>
            </w:pPr>
            <w:r>
              <w:rPr>
                <w:rFonts w:hint="eastAsia"/>
                <w:color w:val="auto"/>
                <w:sz w:val="21"/>
                <w:szCs w:val="21"/>
                <w:highlight w:val="none"/>
                <w:u w:val="single"/>
              </w:rPr>
              <w:t>7.11</w:t>
            </w:r>
          </w:p>
        </w:tc>
        <w:tc>
          <w:tcPr>
            <w:tcW w:w="7308" w:type="dxa"/>
            <w:noWrap w:val="0"/>
            <w:vAlign w:val="top"/>
          </w:tcPr>
          <w:p w14:paraId="2A7D011F">
            <w:pPr>
              <w:snapToGrid w:val="0"/>
              <w:rPr>
                <w:rFonts w:hint="eastAsia"/>
                <w:color w:val="auto"/>
                <w:sz w:val="21"/>
                <w:szCs w:val="21"/>
                <w:highlight w:val="none"/>
                <w:u w:val="single"/>
              </w:rPr>
            </w:pPr>
            <w:r>
              <w:rPr>
                <w:rFonts w:hint="eastAsia"/>
                <w:color w:val="auto"/>
                <w:sz w:val="21"/>
                <w:szCs w:val="21"/>
                <w:highlight w:val="none"/>
                <w:u w:val="single"/>
              </w:rPr>
              <w:t>作业人员离开有限空间作业点时，没有将所有作业工器具带出。作业后关闭有限空间人孔门前没有清点作业人员和作业工器具</w:t>
            </w:r>
          </w:p>
        </w:tc>
        <w:tc>
          <w:tcPr>
            <w:tcW w:w="1205" w:type="dxa"/>
            <w:gridSpan w:val="3"/>
            <w:noWrap w:val="0"/>
            <w:vAlign w:val="top"/>
          </w:tcPr>
          <w:p w14:paraId="345006C3">
            <w:pPr>
              <w:snapToGrid w:val="0"/>
              <w:jc w:val="center"/>
              <w:rPr>
                <w:color w:val="auto"/>
                <w:sz w:val="21"/>
                <w:szCs w:val="21"/>
                <w:highlight w:val="none"/>
                <w:u w:val="single"/>
              </w:rPr>
            </w:pPr>
          </w:p>
        </w:tc>
      </w:tr>
      <w:tr w14:paraId="45006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558A7C">
            <w:pPr>
              <w:snapToGrid w:val="0"/>
              <w:jc w:val="center"/>
              <w:rPr>
                <w:color w:val="auto"/>
                <w:sz w:val="21"/>
                <w:szCs w:val="21"/>
                <w:highlight w:val="none"/>
                <w:u w:val="single"/>
              </w:rPr>
            </w:pPr>
          </w:p>
        </w:tc>
        <w:tc>
          <w:tcPr>
            <w:tcW w:w="7308" w:type="dxa"/>
            <w:noWrap w:val="0"/>
            <w:vAlign w:val="top"/>
          </w:tcPr>
          <w:p w14:paraId="6162B1D6">
            <w:pPr>
              <w:snapToGrid w:val="0"/>
              <w:rPr>
                <w:color w:val="auto"/>
                <w:sz w:val="21"/>
                <w:szCs w:val="21"/>
                <w:highlight w:val="none"/>
                <w:u w:val="single"/>
              </w:rPr>
            </w:pPr>
          </w:p>
        </w:tc>
        <w:tc>
          <w:tcPr>
            <w:tcW w:w="1205" w:type="dxa"/>
            <w:gridSpan w:val="3"/>
            <w:noWrap w:val="0"/>
            <w:vAlign w:val="top"/>
          </w:tcPr>
          <w:p w14:paraId="72D62B08">
            <w:pPr>
              <w:snapToGrid w:val="0"/>
              <w:jc w:val="center"/>
              <w:rPr>
                <w:color w:val="auto"/>
                <w:sz w:val="21"/>
                <w:szCs w:val="21"/>
                <w:highlight w:val="none"/>
                <w:u w:val="single"/>
              </w:rPr>
            </w:pPr>
          </w:p>
        </w:tc>
      </w:tr>
      <w:tr w14:paraId="48DD9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jc w:val="center"/>
        </w:trPr>
        <w:tc>
          <w:tcPr>
            <w:tcW w:w="9200" w:type="dxa"/>
            <w:gridSpan w:val="5"/>
            <w:noWrap w:val="0"/>
            <w:vAlign w:val="center"/>
          </w:tcPr>
          <w:p w14:paraId="3C825353">
            <w:pPr>
              <w:snapToGrid w:val="0"/>
              <w:jc w:val="left"/>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.交通运输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11192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808035A">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.1</w:t>
            </w:r>
          </w:p>
        </w:tc>
        <w:tc>
          <w:tcPr>
            <w:tcW w:w="7371" w:type="dxa"/>
            <w:gridSpan w:val="2"/>
            <w:noWrap w:val="0"/>
            <w:vAlign w:val="top"/>
          </w:tcPr>
          <w:p w14:paraId="09748533">
            <w:pPr>
              <w:snapToGrid w:val="0"/>
              <w:rPr>
                <w:color w:val="auto"/>
                <w:sz w:val="21"/>
                <w:szCs w:val="21"/>
                <w:highlight w:val="none"/>
                <w:u w:val="single"/>
              </w:rPr>
            </w:pPr>
            <w:r>
              <w:rPr>
                <w:color w:val="auto"/>
                <w:sz w:val="21"/>
                <w:szCs w:val="21"/>
                <w:highlight w:val="none"/>
                <w:u w:val="single"/>
              </w:rPr>
              <w:t>车辆无行驶证，驾驶员无证驾驶</w:t>
            </w:r>
          </w:p>
        </w:tc>
        <w:tc>
          <w:tcPr>
            <w:tcW w:w="1142" w:type="dxa"/>
            <w:gridSpan w:val="2"/>
            <w:noWrap w:val="0"/>
            <w:vAlign w:val="top"/>
          </w:tcPr>
          <w:p w14:paraId="087275E9">
            <w:pPr>
              <w:snapToGrid w:val="0"/>
              <w:jc w:val="center"/>
              <w:rPr>
                <w:color w:val="auto"/>
                <w:sz w:val="21"/>
                <w:szCs w:val="21"/>
                <w:highlight w:val="none"/>
                <w:u w:val="single"/>
              </w:rPr>
            </w:pPr>
          </w:p>
        </w:tc>
      </w:tr>
      <w:tr w14:paraId="6F373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BC3CE73">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.2</w:t>
            </w:r>
          </w:p>
        </w:tc>
        <w:tc>
          <w:tcPr>
            <w:tcW w:w="7371" w:type="dxa"/>
            <w:gridSpan w:val="2"/>
            <w:noWrap w:val="0"/>
            <w:vAlign w:val="top"/>
          </w:tcPr>
          <w:p w14:paraId="5B9B90E4">
            <w:pPr>
              <w:snapToGrid w:val="0"/>
              <w:rPr>
                <w:color w:val="auto"/>
                <w:sz w:val="21"/>
                <w:szCs w:val="21"/>
                <w:highlight w:val="none"/>
                <w:u w:val="single"/>
              </w:rPr>
            </w:pPr>
            <w:r>
              <w:rPr>
                <w:color w:val="auto"/>
                <w:sz w:val="21"/>
                <w:szCs w:val="21"/>
                <w:highlight w:val="none"/>
                <w:u w:val="single"/>
              </w:rPr>
              <w:t>车辆状况不良，刹车、灯光装置不齐全</w:t>
            </w:r>
          </w:p>
        </w:tc>
        <w:tc>
          <w:tcPr>
            <w:tcW w:w="1142" w:type="dxa"/>
            <w:gridSpan w:val="2"/>
            <w:noWrap w:val="0"/>
            <w:vAlign w:val="top"/>
          </w:tcPr>
          <w:p w14:paraId="779A2241">
            <w:pPr>
              <w:snapToGrid w:val="0"/>
              <w:jc w:val="center"/>
              <w:rPr>
                <w:color w:val="auto"/>
                <w:sz w:val="21"/>
                <w:szCs w:val="21"/>
                <w:highlight w:val="none"/>
                <w:u w:val="single"/>
              </w:rPr>
            </w:pPr>
          </w:p>
        </w:tc>
      </w:tr>
      <w:tr w14:paraId="13713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5CCFBB5">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.3</w:t>
            </w:r>
          </w:p>
        </w:tc>
        <w:tc>
          <w:tcPr>
            <w:tcW w:w="7371" w:type="dxa"/>
            <w:gridSpan w:val="2"/>
            <w:noWrap w:val="0"/>
            <w:vAlign w:val="top"/>
          </w:tcPr>
          <w:p w14:paraId="584F7921">
            <w:pPr>
              <w:snapToGrid w:val="0"/>
              <w:rPr>
                <w:color w:val="auto"/>
                <w:sz w:val="21"/>
                <w:szCs w:val="21"/>
                <w:highlight w:val="none"/>
                <w:u w:val="single"/>
              </w:rPr>
            </w:pPr>
            <w:r>
              <w:rPr>
                <w:color w:val="auto"/>
                <w:sz w:val="21"/>
                <w:szCs w:val="21"/>
                <w:highlight w:val="none"/>
                <w:u w:val="single"/>
              </w:rPr>
              <w:t>机动车辆超速行驶或争道、抢道</w:t>
            </w:r>
          </w:p>
        </w:tc>
        <w:tc>
          <w:tcPr>
            <w:tcW w:w="1142" w:type="dxa"/>
            <w:gridSpan w:val="2"/>
            <w:noWrap w:val="0"/>
            <w:vAlign w:val="top"/>
          </w:tcPr>
          <w:p w14:paraId="6132FC33">
            <w:pPr>
              <w:snapToGrid w:val="0"/>
              <w:jc w:val="center"/>
              <w:rPr>
                <w:color w:val="auto"/>
                <w:sz w:val="21"/>
                <w:szCs w:val="21"/>
                <w:highlight w:val="none"/>
                <w:u w:val="single"/>
              </w:rPr>
            </w:pPr>
          </w:p>
        </w:tc>
      </w:tr>
      <w:tr w14:paraId="336E6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4A7D1F2">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.4</w:t>
            </w:r>
          </w:p>
        </w:tc>
        <w:tc>
          <w:tcPr>
            <w:tcW w:w="7371" w:type="dxa"/>
            <w:gridSpan w:val="2"/>
            <w:noWrap w:val="0"/>
            <w:vAlign w:val="top"/>
          </w:tcPr>
          <w:p w14:paraId="0BF509A0">
            <w:pPr>
              <w:snapToGrid w:val="0"/>
              <w:rPr>
                <w:color w:val="auto"/>
                <w:sz w:val="21"/>
                <w:szCs w:val="21"/>
                <w:highlight w:val="none"/>
                <w:u w:val="single"/>
              </w:rPr>
            </w:pPr>
            <w:r>
              <w:rPr>
                <w:color w:val="auto"/>
                <w:sz w:val="21"/>
                <w:szCs w:val="21"/>
                <w:highlight w:val="none"/>
                <w:u w:val="single"/>
              </w:rPr>
              <w:t>人货混载</w:t>
            </w:r>
          </w:p>
        </w:tc>
        <w:tc>
          <w:tcPr>
            <w:tcW w:w="1142" w:type="dxa"/>
            <w:gridSpan w:val="2"/>
            <w:noWrap w:val="0"/>
            <w:vAlign w:val="top"/>
          </w:tcPr>
          <w:p w14:paraId="4C6696A5">
            <w:pPr>
              <w:snapToGrid w:val="0"/>
              <w:jc w:val="center"/>
              <w:rPr>
                <w:color w:val="auto"/>
                <w:sz w:val="21"/>
                <w:szCs w:val="21"/>
                <w:highlight w:val="none"/>
                <w:u w:val="single"/>
              </w:rPr>
            </w:pPr>
          </w:p>
        </w:tc>
      </w:tr>
      <w:tr w14:paraId="1F4FC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C8835FE">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.5</w:t>
            </w:r>
          </w:p>
        </w:tc>
        <w:tc>
          <w:tcPr>
            <w:tcW w:w="7371" w:type="dxa"/>
            <w:gridSpan w:val="2"/>
            <w:noWrap w:val="0"/>
            <w:vAlign w:val="top"/>
          </w:tcPr>
          <w:p w14:paraId="2FD04679">
            <w:pPr>
              <w:snapToGrid w:val="0"/>
              <w:rPr>
                <w:color w:val="auto"/>
                <w:sz w:val="21"/>
                <w:szCs w:val="21"/>
                <w:highlight w:val="none"/>
                <w:u w:val="single"/>
              </w:rPr>
            </w:pPr>
            <w:r>
              <w:rPr>
                <w:color w:val="auto"/>
                <w:sz w:val="21"/>
                <w:szCs w:val="21"/>
                <w:highlight w:val="none"/>
                <w:u w:val="single"/>
              </w:rPr>
              <w:t>在装载机货斗、货车、叉车等违规搭人</w:t>
            </w:r>
          </w:p>
        </w:tc>
        <w:tc>
          <w:tcPr>
            <w:tcW w:w="1142" w:type="dxa"/>
            <w:gridSpan w:val="2"/>
            <w:noWrap w:val="0"/>
            <w:vAlign w:val="top"/>
          </w:tcPr>
          <w:p w14:paraId="3053A86C">
            <w:pPr>
              <w:snapToGrid w:val="0"/>
              <w:jc w:val="center"/>
              <w:rPr>
                <w:color w:val="auto"/>
                <w:sz w:val="21"/>
                <w:szCs w:val="21"/>
                <w:highlight w:val="none"/>
                <w:u w:val="single"/>
              </w:rPr>
            </w:pPr>
          </w:p>
        </w:tc>
      </w:tr>
      <w:tr w14:paraId="28C1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0A1F1C6">
            <w:pPr>
              <w:snapToGrid w:val="0"/>
              <w:jc w:val="center"/>
              <w:rPr>
                <w:color w:val="auto"/>
                <w:sz w:val="21"/>
                <w:szCs w:val="21"/>
                <w:highlight w:val="none"/>
                <w:u w:val="single"/>
              </w:rPr>
            </w:pPr>
            <w:r>
              <w:rPr>
                <w:rFonts w:hint="eastAsia"/>
                <w:color w:val="auto"/>
                <w:sz w:val="21"/>
                <w:szCs w:val="21"/>
                <w:highlight w:val="none"/>
                <w:u w:val="single"/>
              </w:rPr>
              <w:t>8</w:t>
            </w:r>
            <w:r>
              <w:rPr>
                <w:color w:val="auto"/>
                <w:sz w:val="21"/>
                <w:szCs w:val="21"/>
                <w:highlight w:val="none"/>
                <w:u w:val="single"/>
              </w:rPr>
              <w:t>.6</w:t>
            </w:r>
          </w:p>
        </w:tc>
        <w:tc>
          <w:tcPr>
            <w:tcW w:w="7371" w:type="dxa"/>
            <w:gridSpan w:val="2"/>
            <w:noWrap w:val="0"/>
            <w:vAlign w:val="top"/>
          </w:tcPr>
          <w:p w14:paraId="593D3B55">
            <w:pPr>
              <w:snapToGrid w:val="0"/>
              <w:rPr>
                <w:color w:val="auto"/>
                <w:sz w:val="21"/>
                <w:szCs w:val="21"/>
                <w:highlight w:val="none"/>
                <w:u w:val="single"/>
              </w:rPr>
            </w:pPr>
            <w:r>
              <w:rPr>
                <w:color w:val="auto"/>
                <w:sz w:val="21"/>
                <w:szCs w:val="21"/>
                <w:highlight w:val="none"/>
                <w:u w:val="single"/>
              </w:rPr>
              <w:t>危险品运输时未办理相关手续</w:t>
            </w:r>
          </w:p>
        </w:tc>
        <w:tc>
          <w:tcPr>
            <w:tcW w:w="1142" w:type="dxa"/>
            <w:gridSpan w:val="2"/>
            <w:noWrap w:val="0"/>
            <w:vAlign w:val="top"/>
          </w:tcPr>
          <w:p w14:paraId="0E76D2CC">
            <w:pPr>
              <w:snapToGrid w:val="0"/>
              <w:jc w:val="center"/>
              <w:rPr>
                <w:color w:val="auto"/>
                <w:sz w:val="21"/>
                <w:szCs w:val="21"/>
                <w:highlight w:val="none"/>
                <w:u w:val="single"/>
              </w:rPr>
            </w:pPr>
          </w:p>
        </w:tc>
      </w:tr>
      <w:tr w14:paraId="3142F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9200" w:type="dxa"/>
            <w:gridSpan w:val="5"/>
            <w:noWrap w:val="0"/>
            <w:vAlign w:val="top"/>
          </w:tcPr>
          <w:p w14:paraId="1B837521">
            <w:pPr>
              <w:snapToGrid w:val="0"/>
              <w:rPr>
                <w:color w:val="auto"/>
                <w:sz w:val="21"/>
                <w:szCs w:val="21"/>
                <w:highlight w:val="none"/>
                <w:u w:val="single"/>
              </w:rPr>
            </w:pPr>
            <w:r>
              <w:rPr>
                <w:rFonts w:hint="eastAsia"/>
                <w:color w:val="auto"/>
                <w:sz w:val="21"/>
                <w:szCs w:val="21"/>
                <w:highlight w:val="none"/>
                <w:u w:val="single"/>
              </w:rPr>
              <w:t>9</w:t>
            </w:r>
            <w:r>
              <w:rPr>
                <w:color w:val="auto"/>
                <w:sz w:val="21"/>
                <w:szCs w:val="21"/>
                <w:highlight w:val="none"/>
                <w:u w:val="single"/>
              </w:rPr>
              <w:t>.焊接与切割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2AF5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5A18099">
            <w:pPr>
              <w:snapToGrid w:val="0"/>
              <w:jc w:val="center"/>
              <w:rPr>
                <w:color w:val="auto"/>
                <w:sz w:val="21"/>
                <w:szCs w:val="21"/>
                <w:highlight w:val="none"/>
                <w:u w:val="single"/>
              </w:rPr>
            </w:pPr>
            <w:r>
              <w:rPr>
                <w:rFonts w:hint="eastAsia"/>
                <w:color w:val="auto"/>
                <w:sz w:val="21"/>
                <w:szCs w:val="21"/>
                <w:highlight w:val="none"/>
                <w:u w:val="single"/>
              </w:rPr>
              <w:t>9</w:t>
            </w:r>
            <w:r>
              <w:rPr>
                <w:color w:val="auto"/>
                <w:sz w:val="21"/>
                <w:szCs w:val="21"/>
                <w:highlight w:val="none"/>
                <w:u w:val="single"/>
              </w:rPr>
              <w:t>.1</w:t>
            </w:r>
          </w:p>
        </w:tc>
        <w:tc>
          <w:tcPr>
            <w:tcW w:w="7371" w:type="dxa"/>
            <w:gridSpan w:val="2"/>
            <w:noWrap w:val="0"/>
            <w:vAlign w:val="top"/>
          </w:tcPr>
          <w:p w14:paraId="0A885E1D">
            <w:pPr>
              <w:snapToGrid w:val="0"/>
              <w:rPr>
                <w:color w:val="auto"/>
                <w:sz w:val="21"/>
                <w:szCs w:val="21"/>
                <w:highlight w:val="none"/>
                <w:u w:val="single"/>
              </w:rPr>
            </w:pPr>
            <w:r>
              <w:rPr>
                <w:color w:val="auto"/>
                <w:sz w:val="21"/>
                <w:szCs w:val="21"/>
                <w:highlight w:val="none"/>
                <w:u w:val="single"/>
              </w:rPr>
              <w:t>焊工施焊未戴手套，高空作业未做好防止焊花飞溅措施</w:t>
            </w:r>
          </w:p>
        </w:tc>
        <w:tc>
          <w:tcPr>
            <w:tcW w:w="1142" w:type="dxa"/>
            <w:gridSpan w:val="2"/>
            <w:noWrap w:val="0"/>
            <w:vAlign w:val="top"/>
          </w:tcPr>
          <w:p w14:paraId="108AAF48">
            <w:pPr>
              <w:snapToGrid w:val="0"/>
              <w:jc w:val="center"/>
              <w:rPr>
                <w:color w:val="auto"/>
                <w:sz w:val="21"/>
                <w:szCs w:val="21"/>
                <w:highlight w:val="none"/>
                <w:u w:val="single"/>
              </w:rPr>
            </w:pPr>
          </w:p>
        </w:tc>
      </w:tr>
      <w:tr w14:paraId="6A9D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F79F6C0">
            <w:pPr>
              <w:snapToGrid w:val="0"/>
              <w:jc w:val="center"/>
              <w:rPr>
                <w:color w:val="auto"/>
                <w:sz w:val="21"/>
                <w:szCs w:val="21"/>
                <w:highlight w:val="none"/>
                <w:u w:val="single"/>
              </w:rPr>
            </w:pPr>
            <w:r>
              <w:rPr>
                <w:rFonts w:hint="eastAsia"/>
                <w:color w:val="auto"/>
                <w:sz w:val="21"/>
                <w:szCs w:val="21"/>
                <w:highlight w:val="none"/>
                <w:u w:val="single"/>
              </w:rPr>
              <w:t>9</w:t>
            </w:r>
            <w:r>
              <w:rPr>
                <w:color w:val="auto"/>
                <w:sz w:val="21"/>
                <w:szCs w:val="21"/>
                <w:highlight w:val="none"/>
                <w:u w:val="single"/>
              </w:rPr>
              <w:t>.2</w:t>
            </w:r>
          </w:p>
        </w:tc>
        <w:tc>
          <w:tcPr>
            <w:tcW w:w="7371" w:type="dxa"/>
            <w:gridSpan w:val="2"/>
            <w:noWrap w:val="0"/>
            <w:vAlign w:val="top"/>
          </w:tcPr>
          <w:p w14:paraId="5BFDEFF3">
            <w:pPr>
              <w:snapToGrid w:val="0"/>
              <w:rPr>
                <w:color w:val="auto"/>
                <w:sz w:val="21"/>
                <w:szCs w:val="21"/>
                <w:highlight w:val="none"/>
                <w:u w:val="single"/>
              </w:rPr>
            </w:pPr>
            <w:r>
              <w:rPr>
                <w:color w:val="auto"/>
                <w:sz w:val="21"/>
                <w:szCs w:val="21"/>
                <w:highlight w:val="none"/>
                <w:u w:val="single"/>
              </w:rPr>
              <w:t>不关乙炔、氧气气瓶、管道阀门，使用胶管拆弯方法切断供气</w:t>
            </w:r>
          </w:p>
        </w:tc>
        <w:tc>
          <w:tcPr>
            <w:tcW w:w="1142" w:type="dxa"/>
            <w:gridSpan w:val="2"/>
            <w:noWrap w:val="0"/>
            <w:vAlign w:val="top"/>
          </w:tcPr>
          <w:p w14:paraId="2F4D0865">
            <w:pPr>
              <w:snapToGrid w:val="0"/>
              <w:jc w:val="center"/>
              <w:rPr>
                <w:color w:val="auto"/>
                <w:sz w:val="21"/>
                <w:szCs w:val="21"/>
                <w:highlight w:val="none"/>
                <w:u w:val="single"/>
              </w:rPr>
            </w:pPr>
          </w:p>
        </w:tc>
      </w:tr>
      <w:tr w14:paraId="59963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6F27BC8">
            <w:pPr>
              <w:snapToGrid w:val="0"/>
              <w:jc w:val="center"/>
              <w:rPr>
                <w:color w:val="auto"/>
                <w:sz w:val="21"/>
                <w:szCs w:val="21"/>
                <w:highlight w:val="none"/>
                <w:u w:val="single"/>
              </w:rPr>
            </w:pPr>
            <w:r>
              <w:rPr>
                <w:rFonts w:hint="eastAsia"/>
                <w:color w:val="auto"/>
                <w:sz w:val="21"/>
                <w:szCs w:val="21"/>
                <w:highlight w:val="none"/>
                <w:u w:val="single"/>
                <w:lang w:val="en-US" w:eastAsia="zh-CN"/>
              </w:rPr>
              <w:t>9</w:t>
            </w:r>
            <w:r>
              <w:rPr>
                <w:color w:val="auto"/>
                <w:sz w:val="21"/>
                <w:szCs w:val="21"/>
                <w:highlight w:val="none"/>
                <w:u w:val="single"/>
              </w:rPr>
              <w:t>.3</w:t>
            </w:r>
          </w:p>
        </w:tc>
        <w:tc>
          <w:tcPr>
            <w:tcW w:w="7371" w:type="dxa"/>
            <w:gridSpan w:val="2"/>
            <w:noWrap w:val="0"/>
            <w:vAlign w:val="top"/>
          </w:tcPr>
          <w:p w14:paraId="4F21A039">
            <w:pPr>
              <w:snapToGrid w:val="0"/>
              <w:rPr>
                <w:color w:val="auto"/>
                <w:sz w:val="21"/>
                <w:szCs w:val="21"/>
                <w:highlight w:val="none"/>
                <w:u w:val="single"/>
              </w:rPr>
            </w:pPr>
            <w:r>
              <w:rPr>
                <w:color w:val="auto"/>
                <w:sz w:val="21"/>
                <w:szCs w:val="21"/>
                <w:highlight w:val="none"/>
                <w:u w:val="single"/>
              </w:rPr>
              <w:t>乙炔、氧气气瓶未做好防晒措施，乙炔气瓶横放、无回火器，乙炔、氧气胶管绑扎不牢</w:t>
            </w:r>
          </w:p>
        </w:tc>
        <w:tc>
          <w:tcPr>
            <w:tcW w:w="1142" w:type="dxa"/>
            <w:gridSpan w:val="2"/>
            <w:noWrap w:val="0"/>
            <w:vAlign w:val="top"/>
          </w:tcPr>
          <w:p w14:paraId="7611AA51">
            <w:pPr>
              <w:snapToGrid w:val="0"/>
              <w:jc w:val="center"/>
              <w:rPr>
                <w:color w:val="auto"/>
                <w:sz w:val="21"/>
                <w:szCs w:val="21"/>
                <w:highlight w:val="none"/>
                <w:u w:val="single"/>
              </w:rPr>
            </w:pPr>
          </w:p>
        </w:tc>
      </w:tr>
      <w:tr w14:paraId="37BE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0CF03AD">
            <w:pPr>
              <w:snapToGrid w:val="0"/>
              <w:jc w:val="center"/>
              <w:rPr>
                <w:color w:val="auto"/>
                <w:sz w:val="21"/>
                <w:szCs w:val="21"/>
                <w:highlight w:val="none"/>
                <w:u w:val="single"/>
              </w:rPr>
            </w:pPr>
            <w:r>
              <w:rPr>
                <w:rFonts w:hint="eastAsia"/>
                <w:color w:val="auto"/>
                <w:sz w:val="21"/>
                <w:szCs w:val="21"/>
                <w:highlight w:val="none"/>
                <w:u w:val="single"/>
              </w:rPr>
              <w:t>9</w:t>
            </w:r>
            <w:r>
              <w:rPr>
                <w:color w:val="auto"/>
                <w:sz w:val="21"/>
                <w:szCs w:val="21"/>
                <w:highlight w:val="none"/>
                <w:u w:val="single"/>
              </w:rPr>
              <w:t>.4</w:t>
            </w:r>
          </w:p>
        </w:tc>
        <w:tc>
          <w:tcPr>
            <w:tcW w:w="7371" w:type="dxa"/>
            <w:gridSpan w:val="2"/>
            <w:noWrap w:val="0"/>
            <w:vAlign w:val="top"/>
          </w:tcPr>
          <w:p w14:paraId="4BF5CE86">
            <w:pPr>
              <w:snapToGrid w:val="0"/>
              <w:rPr>
                <w:color w:val="auto"/>
                <w:sz w:val="21"/>
                <w:szCs w:val="21"/>
                <w:highlight w:val="none"/>
                <w:u w:val="single"/>
              </w:rPr>
            </w:pPr>
            <w:r>
              <w:rPr>
                <w:color w:val="auto"/>
                <w:sz w:val="21"/>
                <w:szCs w:val="21"/>
                <w:highlight w:val="none"/>
                <w:u w:val="single"/>
              </w:rPr>
              <w:t>焊接、切割地点10米内存放易燃易爆物品，乙炔、氧气气瓶间距小于5米</w:t>
            </w:r>
          </w:p>
        </w:tc>
        <w:tc>
          <w:tcPr>
            <w:tcW w:w="1142" w:type="dxa"/>
            <w:gridSpan w:val="2"/>
            <w:noWrap w:val="0"/>
            <w:vAlign w:val="top"/>
          </w:tcPr>
          <w:p w14:paraId="5204F4B0">
            <w:pPr>
              <w:snapToGrid w:val="0"/>
              <w:jc w:val="center"/>
              <w:rPr>
                <w:color w:val="auto"/>
                <w:sz w:val="21"/>
                <w:szCs w:val="21"/>
                <w:highlight w:val="none"/>
                <w:u w:val="single"/>
              </w:rPr>
            </w:pPr>
          </w:p>
        </w:tc>
      </w:tr>
      <w:tr w14:paraId="6A5F2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7F2D84E">
            <w:pPr>
              <w:snapToGrid w:val="0"/>
              <w:jc w:val="center"/>
              <w:rPr>
                <w:color w:val="auto"/>
                <w:sz w:val="21"/>
                <w:szCs w:val="21"/>
                <w:highlight w:val="none"/>
                <w:u w:val="single"/>
              </w:rPr>
            </w:pPr>
            <w:r>
              <w:rPr>
                <w:rFonts w:hint="eastAsia"/>
                <w:color w:val="auto"/>
                <w:sz w:val="21"/>
                <w:szCs w:val="21"/>
                <w:highlight w:val="none"/>
                <w:u w:val="single"/>
              </w:rPr>
              <w:t>9</w:t>
            </w:r>
            <w:r>
              <w:rPr>
                <w:color w:val="auto"/>
                <w:sz w:val="21"/>
                <w:szCs w:val="21"/>
                <w:highlight w:val="none"/>
                <w:u w:val="single"/>
              </w:rPr>
              <w:t>.5</w:t>
            </w:r>
          </w:p>
        </w:tc>
        <w:tc>
          <w:tcPr>
            <w:tcW w:w="7371" w:type="dxa"/>
            <w:gridSpan w:val="2"/>
            <w:noWrap w:val="0"/>
            <w:vAlign w:val="top"/>
          </w:tcPr>
          <w:p w14:paraId="53854659">
            <w:pPr>
              <w:snapToGrid w:val="0"/>
              <w:rPr>
                <w:color w:val="auto"/>
                <w:sz w:val="21"/>
                <w:szCs w:val="21"/>
                <w:highlight w:val="none"/>
                <w:u w:val="single"/>
              </w:rPr>
            </w:pPr>
            <w:r>
              <w:rPr>
                <w:color w:val="auto"/>
                <w:sz w:val="21"/>
                <w:szCs w:val="21"/>
                <w:highlight w:val="none"/>
                <w:u w:val="single"/>
              </w:rPr>
              <w:t>对盛装油脂、可燃液体进行焊接、切割时未采取冲洗和置换措施</w:t>
            </w:r>
          </w:p>
        </w:tc>
        <w:tc>
          <w:tcPr>
            <w:tcW w:w="1142" w:type="dxa"/>
            <w:gridSpan w:val="2"/>
            <w:noWrap w:val="0"/>
            <w:vAlign w:val="top"/>
          </w:tcPr>
          <w:p w14:paraId="30C4AB9F">
            <w:pPr>
              <w:snapToGrid w:val="0"/>
              <w:jc w:val="center"/>
              <w:rPr>
                <w:color w:val="auto"/>
                <w:sz w:val="21"/>
                <w:szCs w:val="21"/>
                <w:highlight w:val="none"/>
                <w:u w:val="single"/>
              </w:rPr>
            </w:pPr>
          </w:p>
        </w:tc>
      </w:tr>
      <w:tr w14:paraId="7C18C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9200" w:type="dxa"/>
            <w:gridSpan w:val="5"/>
            <w:noWrap w:val="0"/>
            <w:vAlign w:val="center"/>
          </w:tcPr>
          <w:p w14:paraId="7E3A8A11">
            <w:pPr>
              <w:snapToGrid w:val="0"/>
              <w:jc w:val="left"/>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.修配加工与小型机具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38BC6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3AAA250">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.1</w:t>
            </w:r>
          </w:p>
        </w:tc>
        <w:tc>
          <w:tcPr>
            <w:tcW w:w="7371" w:type="dxa"/>
            <w:gridSpan w:val="2"/>
            <w:noWrap w:val="0"/>
            <w:vAlign w:val="top"/>
          </w:tcPr>
          <w:p w14:paraId="47A4F8A8">
            <w:pPr>
              <w:snapToGrid w:val="0"/>
              <w:rPr>
                <w:color w:val="auto"/>
                <w:sz w:val="21"/>
                <w:szCs w:val="21"/>
                <w:highlight w:val="none"/>
                <w:u w:val="single"/>
              </w:rPr>
            </w:pPr>
            <w:r>
              <w:rPr>
                <w:color w:val="auto"/>
                <w:sz w:val="21"/>
                <w:szCs w:val="21"/>
                <w:highlight w:val="none"/>
                <w:u w:val="single"/>
              </w:rPr>
              <w:t>机具安全装置不齐全</w:t>
            </w:r>
          </w:p>
        </w:tc>
        <w:tc>
          <w:tcPr>
            <w:tcW w:w="1142" w:type="dxa"/>
            <w:gridSpan w:val="2"/>
            <w:noWrap w:val="0"/>
            <w:vAlign w:val="top"/>
          </w:tcPr>
          <w:p w14:paraId="07B8E628">
            <w:pPr>
              <w:snapToGrid w:val="0"/>
              <w:jc w:val="center"/>
              <w:rPr>
                <w:color w:val="auto"/>
                <w:sz w:val="21"/>
                <w:szCs w:val="21"/>
                <w:highlight w:val="none"/>
                <w:u w:val="single"/>
              </w:rPr>
            </w:pPr>
          </w:p>
        </w:tc>
      </w:tr>
      <w:tr w14:paraId="6F41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585E687">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.2</w:t>
            </w:r>
          </w:p>
        </w:tc>
        <w:tc>
          <w:tcPr>
            <w:tcW w:w="7371" w:type="dxa"/>
            <w:gridSpan w:val="2"/>
            <w:noWrap w:val="0"/>
            <w:vAlign w:val="top"/>
          </w:tcPr>
          <w:p w14:paraId="1D48F3C6">
            <w:pPr>
              <w:snapToGrid w:val="0"/>
              <w:rPr>
                <w:color w:val="auto"/>
                <w:sz w:val="21"/>
                <w:szCs w:val="21"/>
                <w:highlight w:val="none"/>
                <w:u w:val="single"/>
              </w:rPr>
            </w:pPr>
            <w:r>
              <w:rPr>
                <w:color w:val="auto"/>
                <w:sz w:val="21"/>
                <w:szCs w:val="21"/>
                <w:highlight w:val="none"/>
                <w:u w:val="single"/>
              </w:rPr>
              <w:t>打锤时戴手套，挥动方向对人</w:t>
            </w:r>
          </w:p>
        </w:tc>
        <w:tc>
          <w:tcPr>
            <w:tcW w:w="1142" w:type="dxa"/>
            <w:gridSpan w:val="2"/>
            <w:noWrap w:val="0"/>
            <w:vAlign w:val="top"/>
          </w:tcPr>
          <w:p w14:paraId="19F1F14B">
            <w:pPr>
              <w:snapToGrid w:val="0"/>
              <w:jc w:val="center"/>
              <w:rPr>
                <w:color w:val="auto"/>
                <w:sz w:val="21"/>
                <w:szCs w:val="21"/>
                <w:highlight w:val="none"/>
                <w:u w:val="single"/>
              </w:rPr>
            </w:pPr>
          </w:p>
        </w:tc>
      </w:tr>
      <w:tr w14:paraId="26C7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46921FE">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.3</w:t>
            </w:r>
          </w:p>
        </w:tc>
        <w:tc>
          <w:tcPr>
            <w:tcW w:w="7371" w:type="dxa"/>
            <w:gridSpan w:val="2"/>
            <w:noWrap w:val="0"/>
            <w:vAlign w:val="top"/>
          </w:tcPr>
          <w:p w14:paraId="15DEC292">
            <w:pPr>
              <w:snapToGrid w:val="0"/>
              <w:rPr>
                <w:color w:val="auto"/>
                <w:sz w:val="21"/>
                <w:szCs w:val="21"/>
                <w:highlight w:val="none"/>
                <w:u w:val="single"/>
              </w:rPr>
            </w:pPr>
            <w:r>
              <w:rPr>
                <w:color w:val="auto"/>
                <w:sz w:val="21"/>
                <w:szCs w:val="21"/>
                <w:highlight w:val="none"/>
                <w:u w:val="single"/>
              </w:rPr>
              <w:t>穿手套操作车、刨、钻、铣、弯、切机械设备</w:t>
            </w:r>
          </w:p>
        </w:tc>
        <w:tc>
          <w:tcPr>
            <w:tcW w:w="1142" w:type="dxa"/>
            <w:gridSpan w:val="2"/>
            <w:noWrap w:val="0"/>
            <w:vAlign w:val="top"/>
          </w:tcPr>
          <w:p w14:paraId="63B04F5E">
            <w:pPr>
              <w:snapToGrid w:val="0"/>
              <w:jc w:val="center"/>
              <w:rPr>
                <w:color w:val="auto"/>
                <w:sz w:val="21"/>
                <w:szCs w:val="21"/>
                <w:highlight w:val="none"/>
                <w:u w:val="single"/>
              </w:rPr>
            </w:pPr>
          </w:p>
        </w:tc>
      </w:tr>
      <w:tr w14:paraId="0FF96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DA3B92B">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.4</w:t>
            </w:r>
          </w:p>
        </w:tc>
        <w:tc>
          <w:tcPr>
            <w:tcW w:w="7371" w:type="dxa"/>
            <w:gridSpan w:val="2"/>
            <w:noWrap w:val="0"/>
            <w:vAlign w:val="top"/>
          </w:tcPr>
          <w:p w14:paraId="7850E3A6">
            <w:pPr>
              <w:snapToGrid w:val="0"/>
              <w:rPr>
                <w:color w:val="auto"/>
                <w:sz w:val="21"/>
                <w:szCs w:val="21"/>
                <w:highlight w:val="none"/>
                <w:u w:val="single"/>
              </w:rPr>
            </w:pPr>
            <w:r>
              <w:rPr>
                <w:color w:val="auto"/>
                <w:sz w:val="21"/>
                <w:szCs w:val="21"/>
                <w:highlight w:val="none"/>
                <w:u w:val="single"/>
              </w:rPr>
              <w:t>使用有裂纹或磨损超标的砂轮片，使用切割砂轮片进行打磨</w:t>
            </w:r>
          </w:p>
        </w:tc>
        <w:tc>
          <w:tcPr>
            <w:tcW w:w="1142" w:type="dxa"/>
            <w:gridSpan w:val="2"/>
            <w:noWrap w:val="0"/>
            <w:vAlign w:val="top"/>
          </w:tcPr>
          <w:p w14:paraId="00CA0F55">
            <w:pPr>
              <w:snapToGrid w:val="0"/>
              <w:jc w:val="center"/>
              <w:rPr>
                <w:color w:val="auto"/>
                <w:sz w:val="21"/>
                <w:szCs w:val="21"/>
                <w:highlight w:val="none"/>
                <w:u w:val="single"/>
              </w:rPr>
            </w:pPr>
          </w:p>
        </w:tc>
      </w:tr>
      <w:tr w14:paraId="2DCE8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232BCE5">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.5</w:t>
            </w:r>
          </w:p>
        </w:tc>
        <w:tc>
          <w:tcPr>
            <w:tcW w:w="7371" w:type="dxa"/>
            <w:gridSpan w:val="2"/>
            <w:noWrap w:val="0"/>
            <w:vAlign w:val="top"/>
          </w:tcPr>
          <w:p w14:paraId="1251171F">
            <w:pPr>
              <w:snapToGrid w:val="0"/>
              <w:rPr>
                <w:color w:val="auto"/>
                <w:sz w:val="21"/>
                <w:szCs w:val="21"/>
                <w:highlight w:val="none"/>
                <w:u w:val="single"/>
              </w:rPr>
            </w:pPr>
            <w:r>
              <w:rPr>
                <w:color w:val="auto"/>
                <w:sz w:val="21"/>
                <w:szCs w:val="21"/>
                <w:highlight w:val="none"/>
                <w:u w:val="single"/>
              </w:rPr>
              <w:t>潜水泵运行时进入坑池</w:t>
            </w:r>
          </w:p>
        </w:tc>
        <w:tc>
          <w:tcPr>
            <w:tcW w:w="1142" w:type="dxa"/>
            <w:gridSpan w:val="2"/>
            <w:noWrap w:val="0"/>
            <w:vAlign w:val="top"/>
          </w:tcPr>
          <w:p w14:paraId="3FBA4380">
            <w:pPr>
              <w:snapToGrid w:val="0"/>
              <w:jc w:val="center"/>
              <w:rPr>
                <w:color w:val="auto"/>
                <w:sz w:val="21"/>
                <w:szCs w:val="21"/>
                <w:highlight w:val="none"/>
                <w:u w:val="single"/>
              </w:rPr>
            </w:pPr>
          </w:p>
        </w:tc>
      </w:tr>
      <w:tr w14:paraId="048F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58C415A">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.6</w:t>
            </w:r>
          </w:p>
        </w:tc>
        <w:tc>
          <w:tcPr>
            <w:tcW w:w="7371" w:type="dxa"/>
            <w:gridSpan w:val="2"/>
            <w:noWrap w:val="0"/>
            <w:vAlign w:val="top"/>
          </w:tcPr>
          <w:p w14:paraId="5032F27A">
            <w:pPr>
              <w:snapToGrid w:val="0"/>
              <w:rPr>
                <w:color w:val="auto"/>
                <w:sz w:val="21"/>
                <w:szCs w:val="21"/>
                <w:highlight w:val="none"/>
                <w:u w:val="single"/>
              </w:rPr>
            </w:pPr>
            <w:r>
              <w:rPr>
                <w:color w:val="auto"/>
                <w:sz w:val="21"/>
                <w:szCs w:val="21"/>
                <w:highlight w:val="none"/>
                <w:u w:val="single"/>
              </w:rPr>
              <w:t>打磨、切割、焊接等作业时未使用护目镜</w:t>
            </w:r>
          </w:p>
        </w:tc>
        <w:tc>
          <w:tcPr>
            <w:tcW w:w="1142" w:type="dxa"/>
            <w:gridSpan w:val="2"/>
            <w:noWrap w:val="0"/>
            <w:vAlign w:val="top"/>
          </w:tcPr>
          <w:p w14:paraId="44553179">
            <w:pPr>
              <w:snapToGrid w:val="0"/>
              <w:jc w:val="center"/>
              <w:rPr>
                <w:color w:val="auto"/>
                <w:sz w:val="21"/>
                <w:szCs w:val="21"/>
                <w:highlight w:val="none"/>
                <w:u w:val="single"/>
              </w:rPr>
            </w:pPr>
          </w:p>
        </w:tc>
      </w:tr>
      <w:tr w14:paraId="0864D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64B57F8">
            <w:pPr>
              <w:snapToGrid w:val="0"/>
              <w:jc w:val="center"/>
              <w:rPr>
                <w:color w:val="auto"/>
                <w:sz w:val="21"/>
                <w:szCs w:val="21"/>
                <w:highlight w:val="none"/>
                <w:u w:val="single"/>
              </w:rPr>
            </w:pPr>
            <w:r>
              <w:rPr>
                <w:rFonts w:hint="eastAsia"/>
                <w:color w:val="auto"/>
                <w:sz w:val="21"/>
                <w:szCs w:val="21"/>
                <w:highlight w:val="none"/>
                <w:u w:val="single"/>
              </w:rPr>
              <w:t>10</w:t>
            </w:r>
            <w:r>
              <w:rPr>
                <w:color w:val="auto"/>
                <w:sz w:val="21"/>
                <w:szCs w:val="21"/>
                <w:highlight w:val="none"/>
                <w:u w:val="single"/>
              </w:rPr>
              <w:t>.7</w:t>
            </w:r>
          </w:p>
        </w:tc>
        <w:tc>
          <w:tcPr>
            <w:tcW w:w="7371" w:type="dxa"/>
            <w:gridSpan w:val="2"/>
            <w:noWrap w:val="0"/>
            <w:vAlign w:val="top"/>
          </w:tcPr>
          <w:p w14:paraId="76AA96F9">
            <w:pPr>
              <w:snapToGrid w:val="0"/>
              <w:rPr>
                <w:color w:val="auto"/>
                <w:sz w:val="21"/>
                <w:szCs w:val="21"/>
                <w:highlight w:val="none"/>
                <w:u w:val="single"/>
              </w:rPr>
            </w:pPr>
            <w:r>
              <w:rPr>
                <w:color w:val="auto"/>
                <w:sz w:val="21"/>
                <w:szCs w:val="21"/>
                <w:highlight w:val="none"/>
                <w:u w:val="single"/>
              </w:rPr>
              <w:t>千斤顶加长手柄或超过规定人员操作</w:t>
            </w:r>
          </w:p>
        </w:tc>
        <w:tc>
          <w:tcPr>
            <w:tcW w:w="1142" w:type="dxa"/>
            <w:gridSpan w:val="2"/>
            <w:noWrap w:val="0"/>
            <w:vAlign w:val="top"/>
          </w:tcPr>
          <w:p w14:paraId="6C9C265E">
            <w:pPr>
              <w:snapToGrid w:val="0"/>
              <w:jc w:val="center"/>
              <w:rPr>
                <w:color w:val="auto"/>
                <w:sz w:val="21"/>
                <w:szCs w:val="21"/>
                <w:highlight w:val="none"/>
                <w:u w:val="single"/>
              </w:rPr>
            </w:pPr>
          </w:p>
        </w:tc>
      </w:tr>
      <w:tr w14:paraId="5047D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4A421B70">
            <w:pPr>
              <w:snapToGrid w:val="0"/>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w:t>
            </w:r>
            <w:r>
              <w:rPr>
                <w:rFonts w:hint="eastAsia"/>
                <w:color w:val="auto"/>
                <w:sz w:val="21"/>
                <w:szCs w:val="21"/>
                <w:highlight w:val="none"/>
                <w:u w:val="single"/>
              </w:rPr>
              <w:t>吊篮作业</w:t>
            </w:r>
            <w:r>
              <w:rPr>
                <w:color w:val="auto"/>
                <w:sz w:val="21"/>
                <w:szCs w:val="21"/>
                <w:highlight w:val="none"/>
                <w:u w:val="single"/>
              </w:rPr>
              <w:t xml:space="preserve">    违反下列行为给予</w:t>
            </w:r>
            <w:r>
              <w:rPr>
                <w:rFonts w:hint="eastAsia"/>
                <w:color w:val="auto"/>
                <w:sz w:val="21"/>
                <w:szCs w:val="21"/>
                <w:highlight w:val="none"/>
                <w:u w:val="single"/>
                <w:lang w:val="en-US" w:eastAsia="zh-CN"/>
              </w:rPr>
              <w:t>10</w:t>
            </w:r>
            <w:r>
              <w:rPr>
                <w:color w:val="auto"/>
                <w:sz w:val="21"/>
                <w:szCs w:val="21"/>
                <w:highlight w:val="none"/>
                <w:u w:val="single"/>
              </w:rPr>
              <w:t>000</w:t>
            </w:r>
            <w:r>
              <w:rPr>
                <w:rFonts w:hint="eastAsia"/>
                <w:color w:val="auto"/>
                <w:sz w:val="21"/>
                <w:szCs w:val="21"/>
                <w:highlight w:val="none"/>
                <w:u w:val="single"/>
                <w:lang w:val="en-US" w:eastAsia="zh-CN"/>
              </w:rPr>
              <w:t>-2</w:t>
            </w:r>
            <w:r>
              <w:rPr>
                <w:rFonts w:hint="eastAsia"/>
                <w:color w:val="auto"/>
                <w:sz w:val="21"/>
                <w:szCs w:val="21"/>
                <w:highlight w:val="none"/>
                <w:u w:val="single"/>
              </w:rPr>
              <w:t>0</w:t>
            </w:r>
            <w:r>
              <w:rPr>
                <w:color w:val="auto"/>
                <w:sz w:val="21"/>
                <w:szCs w:val="21"/>
                <w:highlight w:val="none"/>
                <w:u w:val="single"/>
              </w:rPr>
              <w:t>000元处罚</w:t>
            </w:r>
          </w:p>
        </w:tc>
      </w:tr>
      <w:tr w14:paraId="607E8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E595D3B">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.1</w:t>
            </w:r>
          </w:p>
        </w:tc>
        <w:tc>
          <w:tcPr>
            <w:tcW w:w="7308" w:type="dxa"/>
            <w:noWrap w:val="0"/>
            <w:vAlign w:val="top"/>
          </w:tcPr>
          <w:p w14:paraId="234F45A2">
            <w:pPr>
              <w:snapToGrid w:val="0"/>
              <w:rPr>
                <w:color w:val="auto"/>
                <w:sz w:val="21"/>
                <w:szCs w:val="21"/>
                <w:highlight w:val="none"/>
                <w:u w:val="single"/>
              </w:rPr>
            </w:pPr>
            <w:r>
              <w:rPr>
                <w:rFonts w:hint="eastAsia"/>
                <w:color w:val="auto"/>
                <w:sz w:val="21"/>
                <w:szCs w:val="21"/>
                <w:highlight w:val="none"/>
                <w:u w:val="single"/>
              </w:rPr>
              <w:t>吊篮安装人员未持有效证件作业</w:t>
            </w:r>
          </w:p>
        </w:tc>
        <w:tc>
          <w:tcPr>
            <w:tcW w:w="1205" w:type="dxa"/>
            <w:gridSpan w:val="3"/>
            <w:noWrap w:val="0"/>
            <w:vAlign w:val="top"/>
          </w:tcPr>
          <w:p w14:paraId="7227645A">
            <w:pPr>
              <w:snapToGrid w:val="0"/>
              <w:jc w:val="center"/>
              <w:rPr>
                <w:color w:val="auto"/>
                <w:sz w:val="21"/>
                <w:szCs w:val="21"/>
                <w:highlight w:val="none"/>
                <w:u w:val="single"/>
              </w:rPr>
            </w:pPr>
          </w:p>
        </w:tc>
      </w:tr>
      <w:tr w14:paraId="2C55E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70108AB">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.2</w:t>
            </w:r>
          </w:p>
        </w:tc>
        <w:tc>
          <w:tcPr>
            <w:tcW w:w="7308" w:type="dxa"/>
            <w:noWrap w:val="0"/>
            <w:vAlign w:val="top"/>
          </w:tcPr>
          <w:p w14:paraId="4F9F35FA">
            <w:pPr>
              <w:snapToGrid w:val="0"/>
              <w:rPr>
                <w:color w:val="auto"/>
                <w:sz w:val="21"/>
                <w:szCs w:val="21"/>
                <w:highlight w:val="none"/>
                <w:u w:val="single"/>
              </w:rPr>
            </w:pPr>
            <w:r>
              <w:rPr>
                <w:rFonts w:hint="eastAsia"/>
                <w:color w:val="auto"/>
                <w:sz w:val="21"/>
                <w:szCs w:val="21"/>
                <w:highlight w:val="none"/>
                <w:u w:val="single"/>
              </w:rPr>
              <w:t>吊篮安装完成后没有进行验收，没有第三方检验验收报告</w:t>
            </w:r>
          </w:p>
        </w:tc>
        <w:tc>
          <w:tcPr>
            <w:tcW w:w="1205" w:type="dxa"/>
            <w:gridSpan w:val="3"/>
            <w:noWrap w:val="0"/>
            <w:vAlign w:val="top"/>
          </w:tcPr>
          <w:p w14:paraId="0EF0C192">
            <w:pPr>
              <w:snapToGrid w:val="0"/>
              <w:jc w:val="center"/>
              <w:rPr>
                <w:color w:val="auto"/>
                <w:sz w:val="21"/>
                <w:szCs w:val="21"/>
                <w:highlight w:val="none"/>
                <w:u w:val="single"/>
              </w:rPr>
            </w:pPr>
          </w:p>
        </w:tc>
      </w:tr>
      <w:tr w14:paraId="38A4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D051369">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.3</w:t>
            </w:r>
          </w:p>
        </w:tc>
        <w:tc>
          <w:tcPr>
            <w:tcW w:w="7308" w:type="dxa"/>
            <w:noWrap w:val="0"/>
            <w:vAlign w:val="top"/>
          </w:tcPr>
          <w:p w14:paraId="680F0458">
            <w:pPr>
              <w:snapToGrid w:val="0"/>
              <w:rPr>
                <w:color w:val="auto"/>
                <w:sz w:val="21"/>
                <w:szCs w:val="21"/>
                <w:highlight w:val="none"/>
                <w:u w:val="single"/>
              </w:rPr>
            </w:pPr>
            <w:r>
              <w:rPr>
                <w:rFonts w:hint="eastAsia"/>
                <w:color w:val="auto"/>
                <w:sz w:val="21"/>
                <w:szCs w:val="21"/>
                <w:highlight w:val="none"/>
                <w:u w:val="single"/>
              </w:rPr>
              <w:t>吊篮安全锁缺失或未在检验有效期内</w:t>
            </w:r>
          </w:p>
        </w:tc>
        <w:tc>
          <w:tcPr>
            <w:tcW w:w="1205" w:type="dxa"/>
            <w:gridSpan w:val="3"/>
            <w:noWrap w:val="0"/>
            <w:vAlign w:val="top"/>
          </w:tcPr>
          <w:p w14:paraId="300D747B">
            <w:pPr>
              <w:snapToGrid w:val="0"/>
              <w:jc w:val="center"/>
              <w:rPr>
                <w:color w:val="auto"/>
                <w:sz w:val="21"/>
                <w:szCs w:val="21"/>
                <w:highlight w:val="none"/>
                <w:u w:val="single"/>
              </w:rPr>
            </w:pPr>
          </w:p>
        </w:tc>
      </w:tr>
      <w:tr w14:paraId="0C515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B33528E">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.4</w:t>
            </w:r>
          </w:p>
        </w:tc>
        <w:tc>
          <w:tcPr>
            <w:tcW w:w="7308" w:type="dxa"/>
            <w:noWrap w:val="0"/>
            <w:vAlign w:val="top"/>
          </w:tcPr>
          <w:p w14:paraId="2923D25D">
            <w:pPr>
              <w:snapToGrid w:val="0"/>
              <w:rPr>
                <w:color w:val="auto"/>
                <w:sz w:val="21"/>
                <w:szCs w:val="21"/>
                <w:highlight w:val="none"/>
                <w:u w:val="single"/>
              </w:rPr>
            </w:pPr>
            <w:r>
              <w:rPr>
                <w:rFonts w:hint="eastAsia"/>
                <w:color w:val="auto"/>
                <w:sz w:val="21"/>
                <w:szCs w:val="21"/>
                <w:highlight w:val="none"/>
                <w:u w:val="single"/>
              </w:rPr>
              <w:t>吊篮限位开关缺失或故障</w:t>
            </w:r>
          </w:p>
        </w:tc>
        <w:tc>
          <w:tcPr>
            <w:tcW w:w="1205" w:type="dxa"/>
            <w:gridSpan w:val="3"/>
            <w:noWrap w:val="0"/>
            <w:vAlign w:val="top"/>
          </w:tcPr>
          <w:p w14:paraId="703773ED">
            <w:pPr>
              <w:snapToGrid w:val="0"/>
              <w:jc w:val="center"/>
              <w:rPr>
                <w:color w:val="auto"/>
                <w:sz w:val="21"/>
                <w:szCs w:val="21"/>
                <w:highlight w:val="none"/>
                <w:u w:val="single"/>
              </w:rPr>
            </w:pPr>
          </w:p>
        </w:tc>
      </w:tr>
      <w:tr w14:paraId="4B00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77F793C">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.5</w:t>
            </w:r>
          </w:p>
        </w:tc>
        <w:tc>
          <w:tcPr>
            <w:tcW w:w="7308" w:type="dxa"/>
            <w:noWrap w:val="0"/>
            <w:vAlign w:val="top"/>
          </w:tcPr>
          <w:p w14:paraId="271723CE">
            <w:pPr>
              <w:snapToGrid w:val="0"/>
              <w:rPr>
                <w:color w:val="auto"/>
                <w:sz w:val="21"/>
                <w:szCs w:val="21"/>
                <w:highlight w:val="none"/>
                <w:u w:val="single"/>
              </w:rPr>
            </w:pPr>
            <w:r>
              <w:rPr>
                <w:rFonts w:hint="eastAsia"/>
                <w:color w:val="auto"/>
                <w:sz w:val="21"/>
                <w:szCs w:val="21"/>
                <w:highlight w:val="none"/>
                <w:u w:val="single"/>
              </w:rPr>
              <w:t>吊篮电气配电箱功能不齐全，电气控制按钮、紧急停运按钮等动作不可靠</w:t>
            </w:r>
          </w:p>
        </w:tc>
        <w:tc>
          <w:tcPr>
            <w:tcW w:w="1205" w:type="dxa"/>
            <w:gridSpan w:val="3"/>
            <w:noWrap w:val="0"/>
            <w:vAlign w:val="top"/>
          </w:tcPr>
          <w:p w14:paraId="4EEDE63D">
            <w:pPr>
              <w:snapToGrid w:val="0"/>
              <w:jc w:val="center"/>
              <w:rPr>
                <w:color w:val="auto"/>
                <w:sz w:val="21"/>
                <w:szCs w:val="21"/>
                <w:highlight w:val="none"/>
                <w:u w:val="single"/>
              </w:rPr>
            </w:pPr>
          </w:p>
        </w:tc>
      </w:tr>
      <w:tr w14:paraId="643B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BE2F269">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1</w:t>
            </w:r>
            <w:r>
              <w:rPr>
                <w:color w:val="auto"/>
                <w:sz w:val="21"/>
                <w:szCs w:val="21"/>
                <w:highlight w:val="none"/>
                <w:u w:val="single"/>
              </w:rPr>
              <w:t>.6</w:t>
            </w:r>
          </w:p>
        </w:tc>
        <w:tc>
          <w:tcPr>
            <w:tcW w:w="7308" w:type="dxa"/>
            <w:noWrap w:val="0"/>
            <w:vAlign w:val="top"/>
          </w:tcPr>
          <w:p w14:paraId="743A74E9">
            <w:pPr>
              <w:snapToGrid w:val="0"/>
              <w:rPr>
                <w:color w:val="auto"/>
                <w:sz w:val="21"/>
                <w:szCs w:val="21"/>
                <w:highlight w:val="none"/>
                <w:u w:val="single"/>
              </w:rPr>
            </w:pPr>
            <w:r>
              <w:rPr>
                <w:rFonts w:hint="eastAsia"/>
                <w:color w:val="auto"/>
                <w:sz w:val="21"/>
                <w:szCs w:val="21"/>
                <w:highlight w:val="none"/>
                <w:u w:val="single"/>
              </w:rPr>
              <w:t>吊篮本体上无编号、额定载重量、操作注意事项等安全警示标牌</w:t>
            </w:r>
          </w:p>
        </w:tc>
        <w:tc>
          <w:tcPr>
            <w:tcW w:w="1205" w:type="dxa"/>
            <w:gridSpan w:val="3"/>
            <w:noWrap w:val="0"/>
            <w:vAlign w:val="top"/>
          </w:tcPr>
          <w:p w14:paraId="44A8E202">
            <w:pPr>
              <w:snapToGrid w:val="0"/>
              <w:jc w:val="center"/>
              <w:rPr>
                <w:color w:val="auto"/>
                <w:sz w:val="21"/>
                <w:szCs w:val="21"/>
                <w:highlight w:val="none"/>
                <w:u w:val="single"/>
              </w:rPr>
            </w:pPr>
          </w:p>
        </w:tc>
      </w:tr>
      <w:tr w14:paraId="02FE1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9F9A379">
            <w:pPr>
              <w:snapToGrid w:val="0"/>
              <w:jc w:val="center"/>
              <w:rPr>
                <w:color w:val="auto"/>
                <w:sz w:val="21"/>
                <w:szCs w:val="21"/>
                <w:highlight w:val="none"/>
                <w:u w:val="single"/>
              </w:rPr>
            </w:pPr>
            <w:r>
              <w:rPr>
                <w:rFonts w:hint="eastAsia"/>
                <w:color w:val="auto"/>
                <w:sz w:val="21"/>
                <w:szCs w:val="21"/>
                <w:highlight w:val="none"/>
                <w:u w:val="single"/>
              </w:rPr>
              <w:t>11.7</w:t>
            </w:r>
          </w:p>
        </w:tc>
        <w:tc>
          <w:tcPr>
            <w:tcW w:w="7308" w:type="dxa"/>
            <w:noWrap w:val="0"/>
            <w:vAlign w:val="top"/>
          </w:tcPr>
          <w:p w14:paraId="03F07F89">
            <w:pPr>
              <w:snapToGrid w:val="0"/>
              <w:rPr>
                <w:color w:val="auto"/>
                <w:sz w:val="21"/>
                <w:szCs w:val="21"/>
                <w:highlight w:val="none"/>
                <w:u w:val="single"/>
              </w:rPr>
            </w:pPr>
            <w:r>
              <w:rPr>
                <w:rFonts w:hint="eastAsia"/>
                <w:color w:val="auto"/>
                <w:sz w:val="21"/>
                <w:szCs w:val="21"/>
                <w:highlight w:val="none"/>
                <w:u w:val="single"/>
              </w:rPr>
              <w:t>悬挂机构存在缺陷，或工作钢丝绳、安全钢丝绳存在折弯、断股等缺陷</w:t>
            </w:r>
          </w:p>
        </w:tc>
        <w:tc>
          <w:tcPr>
            <w:tcW w:w="1205" w:type="dxa"/>
            <w:gridSpan w:val="3"/>
            <w:noWrap w:val="0"/>
            <w:vAlign w:val="top"/>
          </w:tcPr>
          <w:p w14:paraId="29B72AA8">
            <w:pPr>
              <w:snapToGrid w:val="0"/>
              <w:jc w:val="center"/>
              <w:rPr>
                <w:color w:val="auto"/>
                <w:sz w:val="21"/>
                <w:szCs w:val="21"/>
                <w:highlight w:val="none"/>
                <w:u w:val="single"/>
              </w:rPr>
            </w:pPr>
          </w:p>
        </w:tc>
      </w:tr>
      <w:tr w14:paraId="29A78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4E70BF0">
            <w:pPr>
              <w:snapToGrid w:val="0"/>
              <w:jc w:val="center"/>
              <w:rPr>
                <w:color w:val="auto"/>
                <w:sz w:val="21"/>
                <w:szCs w:val="21"/>
                <w:highlight w:val="none"/>
                <w:u w:val="single"/>
              </w:rPr>
            </w:pPr>
            <w:r>
              <w:rPr>
                <w:rFonts w:hint="eastAsia"/>
                <w:color w:val="auto"/>
                <w:sz w:val="21"/>
                <w:szCs w:val="21"/>
                <w:highlight w:val="none"/>
                <w:u w:val="single"/>
              </w:rPr>
              <w:t>11.8</w:t>
            </w:r>
          </w:p>
        </w:tc>
        <w:tc>
          <w:tcPr>
            <w:tcW w:w="7308" w:type="dxa"/>
            <w:noWrap w:val="0"/>
            <w:vAlign w:val="top"/>
          </w:tcPr>
          <w:p w14:paraId="41EE6A8A">
            <w:pPr>
              <w:snapToGrid w:val="0"/>
              <w:rPr>
                <w:color w:val="auto"/>
                <w:sz w:val="21"/>
                <w:szCs w:val="21"/>
                <w:highlight w:val="none"/>
                <w:u w:val="single"/>
              </w:rPr>
            </w:pPr>
            <w:r>
              <w:rPr>
                <w:rFonts w:hint="eastAsia"/>
                <w:color w:val="auto"/>
                <w:sz w:val="21"/>
                <w:szCs w:val="21"/>
                <w:highlight w:val="none"/>
                <w:u w:val="single"/>
              </w:rPr>
              <w:t>配重不符合使用说明书要求，配重块破损严重等</w:t>
            </w:r>
          </w:p>
        </w:tc>
        <w:tc>
          <w:tcPr>
            <w:tcW w:w="1205" w:type="dxa"/>
            <w:gridSpan w:val="3"/>
            <w:noWrap w:val="0"/>
            <w:vAlign w:val="top"/>
          </w:tcPr>
          <w:p w14:paraId="436C58FA">
            <w:pPr>
              <w:snapToGrid w:val="0"/>
              <w:jc w:val="center"/>
              <w:rPr>
                <w:color w:val="auto"/>
                <w:sz w:val="21"/>
                <w:szCs w:val="21"/>
                <w:highlight w:val="none"/>
                <w:u w:val="single"/>
              </w:rPr>
            </w:pPr>
          </w:p>
        </w:tc>
      </w:tr>
      <w:tr w14:paraId="7994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B20179B">
            <w:pPr>
              <w:snapToGrid w:val="0"/>
              <w:jc w:val="center"/>
              <w:rPr>
                <w:color w:val="auto"/>
                <w:sz w:val="21"/>
                <w:szCs w:val="21"/>
                <w:highlight w:val="none"/>
                <w:u w:val="single"/>
              </w:rPr>
            </w:pPr>
            <w:r>
              <w:rPr>
                <w:rFonts w:hint="eastAsia"/>
                <w:color w:val="auto"/>
                <w:sz w:val="21"/>
                <w:szCs w:val="21"/>
                <w:highlight w:val="none"/>
                <w:u w:val="single"/>
              </w:rPr>
              <w:t>11.9</w:t>
            </w:r>
          </w:p>
        </w:tc>
        <w:tc>
          <w:tcPr>
            <w:tcW w:w="7308" w:type="dxa"/>
            <w:noWrap w:val="0"/>
            <w:vAlign w:val="top"/>
          </w:tcPr>
          <w:p w14:paraId="22080C6F">
            <w:pPr>
              <w:snapToGrid w:val="0"/>
              <w:rPr>
                <w:color w:val="auto"/>
                <w:sz w:val="21"/>
                <w:szCs w:val="21"/>
                <w:highlight w:val="none"/>
                <w:u w:val="single"/>
              </w:rPr>
            </w:pPr>
            <w:r>
              <w:rPr>
                <w:rFonts w:hint="eastAsia"/>
                <w:color w:val="auto"/>
                <w:sz w:val="21"/>
                <w:szCs w:val="21"/>
                <w:highlight w:val="none"/>
                <w:u w:val="single"/>
              </w:rPr>
              <w:t>吊篮内作业人员超过或少于2人</w:t>
            </w:r>
          </w:p>
        </w:tc>
        <w:tc>
          <w:tcPr>
            <w:tcW w:w="1205" w:type="dxa"/>
            <w:gridSpan w:val="3"/>
            <w:noWrap w:val="0"/>
            <w:vAlign w:val="top"/>
          </w:tcPr>
          <w:p w14:paraId="1D8CEA28">
            <w:pPr>
              <w:snapToGrid w:val="0"/>
              <w:jc w:val="center"/>
              <w:rPr>
                <w:color w:val="auto"/>
                <w:sz w:val="21"/>
                <w:szCs w:val="21"/>
                <w:highlight w:val="none"/>
                <w:u w:val="single"/>
              </w:rPr>
            </w:pPr>
          </w:p>
        </w:tc>
      </w:tr>
      <w:tr w14:paraId="773D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C8C1669">
            <w:pPr>
              <w:snapToGrid w:val="0"/>
              <w:jc w:val="center"/>
              <w:rPr>
                <w:color w:val="auto"/>
                <w:sz w:val="21"/>
                <w:szCs w:val="21"/>
                <w:highlight w:val="none"/>
                <w:u w:val="single"/>
              </w:rPr>
            </w:pPr>
            <w:r>
              <w:rPr>
                <w:rFonts w:hint="eastAsia"/>
                <w:color w:val="auto"/>
                <w:sz w:val="21"/>
                <w:szCs w:val="21"/>
                <w:highlight w:val="none"/>
                <w:u w:val="single"/>
              </w:rPr>
              <w:t>11.10</w:t>
            </w:r>
          </w:p>
        </w:tc>
        <w:tc>
          <w:tcPr>
            <w:tcW w:w="7308" w:type="dxa"/>
            <w:noWrap w:val="0"/>
            <w:vAlign w:val="top"/>
          </w:tcPr>
          <w:p w14:paraId="282A46E4">
            <w:pPr>
              <w:snapToGrid w:val="0"/>
              <w:rPr>
                <w:color w:val="auto"/>
                <w:sz w:val="21"/>
                <w:szCs w:val="21"/>
                <w:highlight w:val="none"/>
                <w:u w:val="single"/>
              </w:rPr>
            </w:pPr>
            <w:r>
              <w:rPr>
                <w:rFonts w:hint="eastAsia"/>
                <w:color w:val="auto"/>
                <w:sz w:val="21"/>
                <w:szCs w:val="21"/>
                <w:highlight w:val="none"/>
                <w:u w:val="single"/>
              </w:rPr>
              <w:t>吊篮内2名作业人员没有使用2条独立设置的安全绳</w:t>
            </w:r>
          </w:p>
        </w:tc>
        <w:tc>
          <w:tcPr>
            <w:tcW w:w="1205" w:type="dxa"/>
            <w:gridSpan w:val="3"/>
            <w:noWrap w:val="0"/>
            <w:vAlign w:val="top"/>
          </w:tcPr>
          <w:p w14:paraId="71CB0672">
            <w:pPr>
              <w:snapToGrid w:val="0"/>
              <w:jc w:val="center"/>
              <w:rPr>
                <w:color w:val="auto"/>
                <w:sz w:val="21"/>
                <w:szCs w:val="21"/>
                <w:highlight w:val="none"/>
                <w:u w:val="single"/>
              </w:rPr>
            </w:pPr>
          </w:p>
        </w:tc>
      </w:tr>
      <w:tr w14:paraId="2F482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1885742">
            <w:pPr>
              <w:snapToGrid w:val="0"/>
              <w:jc w:val="center"/>
              <w:rPr>
                <w:color w:val="auto"/>
                <w:sz w:val="21"/>
                <w:szCs w:val="21"/>
                <w:highlight w:val="none"/>
                <w:u w:val="single"/>
              </w:rPr>
            </w:pPr>
            <w:r>
              <w:rPr>
                <w:rFonts w:hint="eastAsia"/>
                <w:color w:val="auto"/>
                <w:sz w:val="21"/>
                <w:szCs w:val="21"/>
                <w:highlight w:val="none"/>
                <w:u w:val="single"/>
              </w:rPr>
              <w:t>11.11</w:t>
            </w:r>
          </w:p>
        </w:tc>
        <w:tc>
          <w:tcPr>
            <w:tcW w:w="7308" w:type="dxa"/>
            <w:noWrap w:val="0"/>
            <w:vAlign w:val="top"/>
          </w:tcPr>
          <w:p w14:paraId="57E43ECE">
            <w:pPr>
              <w:snapToGrid w:val="0"/>
              <w:rPr>
                <w:color w:val="auto"/>
                <w:sz w:val="21"/>
                <w:szCs w:val="21"/>
                <w:highlight w:val="none"/>
                <w:u w:val="single"/>
              </w:rPr>
            </w:pPr>
            <w:r>
              <w:rPr>
                <w:rFonts w:hint="eastAsia"/>
                <w:color w:val="auto"/>
                <w:sz w:val="21"/>
                <w:szCs w:val="21"/>
                <w:highlight w:val="none"/>
                <w:u w:val="single"/>
              </w:rPr>
              <w:t>吊篮内堆放过多物品，超载使用</w:t>
            </w:r>
          </w:p>
        </w:tc>
        <w:tc>
          <w:tcPr>
            <w:tcW w:w="1205" w:type="dxa"/>
            <w:gridSpan w:val="3"/>
            <w:noWrap w:val="0"/>
            <w:vAlign w:val="top"/>
          </w:tcPr>
          <w:p w14:paraId="37FB9DCB">
            <w:pPr>
              <w:snapToGrid w:val="0"/>
              <w:jc w:val="center"/>
              <w:rPr>
                <w:color w:val="auto"/>
                <w:sz w:val="21"/>
                <w:szCs w:val="21"/>
                <w:highlight w:val="none"/>
                <w:u w:val="single"/>
              </w:rPr>
            </w:pPr>
          </w:p>
        </w:tc>
      </w:tr>
      <w:tr w14:paraId="0D01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AD23182">
            <w:pPr>
              <w:snapToGrid w:val="0"/>
              <w:jc w:val="center"/>
              <w:rPr>
                <w:color w:val="auto"/>
                <w:sz w:val="21"/>
                <w:szCs w:val="21"/>
                <w:highlight w:val="none"/>
                <w:u w:val="single"/>
              </w:rPr>
            </w:pPr>
            <w:r>
              <w:rPr>
                <w:rFonts w:hint="eastAsia"/>
                <w:color w:val="auto"/>
                <w:sz w:val="21"/>
                <w:szCs w:val="21"/>
                <w:highlight w:val="none"/>
                <w:u w:val="single"/>
              </w:rPr>
              <w:t>11.12</w:t>
            </w:r>
          </w:p>
        </w:tc>
        <w:tc>
          <w:tcPr>
            <w:tcW w:w="7308" w:type="dxa"/>
            <w:noWrap w:val="0"/>
            <w:vAlign w:val="top"/>
          </w:tcPr>
          <w:p w14:paraId="451E0A93">
            <w:pPr>
              <w:snapToGrid w:val="0"/>
              <w:rPr>
                <w:color w:val="auto"/>
                <w:sz w:val="21"/>
                <w:szCs w:val="21"/>
                <w:highlight w:val="none"/>
                <w:u w:val="single"/>
              </w:rPr>
            </w:pPr>
            <w:r>
              <w:rPr>
                <w:rFonts w:hint="eastAsia"/>
                <w:color w:val="auto"/>
                <w:sz w:val="21"/>
                <w:szCs w:val="21"/>
                <w:highlight w:val="none"/>
                <w:u w:val="single"/>
              </w:rPr>
              <w:t>吊篮内放置乙炔瓶、氧气瓶等易燃易爆物品</w:t>
            </w:r>
          </w:p>
        </w:tc>
        <w:tc>
          <w:tcPr>
            <w:tcW w:w="1205" w:type="dxa"/>
            <w:gridSpan w:val="3"/>
            <w:noWrap w:val="0"/>
            <w:vAlign w:val="top"/>
          </w:tcPr>
          <w:p w14:paraId="6BC5F20D">
            <w:pPr>
              <w:snapToGrid w:val="0"/>
              <w:jc w:val="center"/>
              <w:rPr>
                <w:color w:val="auto"/>
                <w:sz w:val="21"/>
                <w:szCs w:val="21"/>
                <w:highlight w:val="none"/>
                <w:u w:val="single"/>
              </w:rPr>
            </w:pPr>
          </w:p>
        </w:tc>
      </w:tr>
      <w:tr w14:paraId="57B74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A09BEEC">
            <w:pPr>
              <w:snapToGrid w:val="0"/>
              <w:jc w:val="center"/>
              <w:rPr>
                <w:rFonts w:hint="eastAsia"/>
                <w:color w:val="auto"/>
                <w:sz w:val="21"/>
                <w:szCs w:val="21"/>
                <w:highlight w:val="none"/>
                <w:u w:val="single"/>
              </w:rPr>
            </w:pPr>
          </w:p>
        </w:tc>
        <w:tc>
          <w:tcPr>
            <w:tcW w:w="7308" w:type="dxa"/>
            <w:noWrap w:val="0"/>
            <w:vAlign w:val="top"/>
          </w:tcPr>
          <w:p w14:paraId="64AE5A58">
            <w:pPr>
              <w:snapToGrid w:val="0"/>
              <w:rPr>
                <w:rFonts w:hint="eastAsia"/>
                <w:color w:val="auto"/>
                <w:sz w:val="21"/>
                <w:szCs w:val="21"/>
                <w:highlight w:val="none"/>
                <w:u w:val="single"/>
              </w:rPr>
            </w:pPr>
          </w:p>
        </w:tc>
        <w:tc>
          <w:tcPr>
            <w:tcW w:w="1205" w:type="dxa"/>
            <w:gridSpan w:val="3"/>
            <w:noWrap w:val="0"/>
            <w:vAlign w:val="top"/>
          </w:tcPr>
          <w:p w14:paraId="330831E5">
            <w:pPr>
              <w:snapToGrid w:val="0"/>
              <w:jc w:val="center"/>
              <w:rPr>
                <w:color w:val="auto"/>
                <w:sz w:val="21"/>
                <w:szCs w:val="21"/>
                <w:highlight w:val="none"/>
                <w:u w:val="single"/>
              </w:rPr>
            </w:pPr>
          </w:p>
        </w:tc>
      </w:tr>
      <w:tr w14:paraId="5ED6C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5484A32A">
            <w:pPr>
              <w:snapToGrid w:val="0"/>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.土石方施工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2531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610CD7B">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.1</w:t>
            </w:r>
          </w:p>
        </w:tc>
        <w:tc>
          <w:tcPr>
            <w:tcW w:w="7308" w:type="dxa"/>
            <w:noWrap w:val="0"/>
            <w:vAlign w:val="top"/>
          </w:tcPr>
          <w:p w14:paraId="026C4325">
            <w:pPr>
              <w:snapToGrid w:val="0"/>
              <w:rPr>
                <w:color w:val="auto"/>
                <w:sz w:val="21"/>
                <w:szCs w:val="21"/>
                <w:highlight w:val="none"/>
                <w:u w:val="single"/>
              </w:rPr>
            </w:pPr>
            <w:r>
              <w:rPr>
                <w:color w:val="auto"/>
                <w:sz w:val="21"/>
                <w:szCs w:val="21"/>
                <w:highlight w:val="none"/>
                <w:u w:val="single"/>
              </w:rPr>
              <w:t>斜坡上浮石前未清理，基坑开挖临边、斜坡未有可靠防护围栏</w:t>
            </w:r>
          </w:p>
        </w:tc>
        <w:tc>
          <w:tcPr>
            <w:tcW w:w="1205" w:type="dxa"/>
            <w:gridSpan w:val="3"/>
            <w:noWrap w:val="0"/>
            <w:vAlign w:val="top"/>
          </w:tcPr>
          <w:p w14:paraId="234AD68A">
            <w:pPr>
              <w:snapToGrid w:val="0"/>
              <w:jc w:val="center"/>
              <w:rPr>
                <w:color w:val="auto"/>
                <w:sz w:val="21"/>
                <w:szCs w:val="21"/>
                <w:highlight w:val="none"/>
                <w:u w:val="single"/>
              </w:rPr>
            </w:pPr>
          </w:p>
        </w:tc>
      </w:tr>
      <w:tr w14:paraId="409F7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A1295AB">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.2</w:t>
            </w:r>
          </w:p>
        </w:tc>
        <w:tc>
          <w:tcPr>
            <w:tcW w:w="7308" w:type="dxa"/>
            <w:noWrap w:val="0"/>
            <w:vAlign w:val="top"/>
          </w:tcPr>
          <w:p w14:paraId="70B041C2">
            <w:pPr>
              <w:snapToGrid w:val="0"/>
              <w:rPr>
                <w:color w:val="auto"/>
                <w:sz w:val="21"/>
                <w:szCs w:val="21"/>
                <w:highlight w:val="none"/>
                <w:u w:val="single"/>
              </w:rPr>
            </w:pPr>
            <w:r>
              <w:rPr>
                <w:color w:val="auto"/>
                <w:sz w:val="21"/>
                <w:szCs w:val="21"/>
                <w:highlight w:val="none"/>
                <w:u w:val="single"/>
              </w:rPr>
              <w:t>有地下水或地面水流入基坑未采取排水或降水措施</w:t>
            </w:r>
          </w:p>
        </w:tc>
        <w:tc>
          <w:tcPr>
            <w:tcW w:w="1205" w:type="dxa"/>
            <w:gridSpan w:val="3"/>
            <w:noWrap w:val="0"/>
            <w:vAlign w:val="top"/>
          </w:tcPr>
          <w:p w14:paraId="4472D4D9">
            <w:pPr>
              <w:snapToGrid w:val="0"/>
              <w:jc w:val="center"/>
              <w:rPr>
                <w:color w:val="auto"/>
                <w:sz w:val="21"/>
                <w:szCs w:val="21"/>
                <w:highlight w:val="none"/>
                <w:u w:val="single"/>
              </w:rPr>
            </w:pPr>
          </w:p>
        </w:tc>
      </w:tr>
      <w:tr w14:paraId="32D60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94DBCB0">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.3</w:t>
            </w:r>
          </w:p>
        </w:tc>
        <w:tc>
          <w:tcPr>
            <w:tcW w:w="7308" w:type="dxa"/>
            <w:noWrap w:val="0"/>
            <w:vAlign w:val="top"/>
          </w:tcPr>
          <w:p w14:paraId="1A5B1D29">
            <w:pPr>
              <w:snapToGrid w:val="0"/>
              <w:rPr>
                <w:color w:val="auto"/>
                <w:sz w:val="21"/>
                <w:szCs w:val="21"/>
                <w:highlight w:val="none"/>
                <w:u w:val="single"/>
              </w:rPr>
            </w:pPr>
            <w:r>
              <w:rPr>
                <w:color w:val="auto"/>
                <w:sz w:val="21"/>
                <w:szCs w:val="21"/>
                <w:highlight w:val="none"/>
                <w:u w:val="single"/>
              </w:rPr>
              <w:t>堆土距离边坡边缘不足0.8米,高度超1.5米</w:t>
            </w:r>
          </w:p>
        </w:tc>
        <w:tc>
          <w:tcPr>
            <w:tcW w:w="1205" w:type="dxa"/>
            <w:gridSpan w:val="3"/>
            <w:noWrap w:val="0"/>
            <w:vAlign w:val="top"/>
          </w:tcPr>
          <w:p w14:paraId="7ECFC162">
            <w:pPr>
              <w:snapToGrid w:val="0"/>
              <w:jc w:val="center"/>
              <w:rPr>
                <w:color w:val="auto"/>
                <w:sz w:val="21"/>
                <w:szCs w:val="21"/>
                <w:highlight w:val="none"/>
                <w:u w:val="single"/>
              </w:rPr>
            </w:pPr>
          </w:p>
        </w:tc>
      </w:tr>
      <w:tr w14:paraId="66726822">
        <w:tblPrEx>
          <w:tblCellMar>
            <w:top w:w="0" w:type="dxa"/>
            <w:left w:w="108" w:type="dxa"/>
            <w:bottom w:w="0" w:type="dxa"/>
            <w:right w:w="108" w:type="dxa"/>
          </w:tblCellMar>
        </w:tblPrEx>
        <w:trPr>
          <w:jc w:val="center"/>
        </w:trPr>
        <w:tc>
          <w:tcPr>
            <w:tcW w:w="687" w:type="dxa"/>
            <w:noWrap w:val="0"/>
            <w:vAlign w:val="top"/>
          </w:tcPr>
          <w:p w14:paraId="3DA95190">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.4</w:t>
            </w:r>
          </w:p>
        </w:tc>
        <w:tc>
          <w:tcPr>
            <w:tcW w:w="7308" w:type="dxa"/>
            <w:noWrap w:val="0"/>
            <w:vAlign w:val="top"/>
          </w:tcPr>
          <w:p w14:paraId="7F4606F0">
            <w:pPr>
              <w:snapToGrid w:val="0"/>
              <w:rPr>
                <w:color w:val="auto"/>
                <w:sz w:val="21"/>
                <w:szCs w:val="21"/>
                <w:highlight w:val="none"/>
                <w:u w:val="single"/>
              </w:rPr>
            </w:pPr>
            <w:r>
              <w:rPr>
                <w:color w:val="auto"/>
                <w:sz w:val="21"/>
                <w:szCs w:val="21"/>
                <w:highlight w:val="none"/>
                <w:u w:val="single"/>
              </w:rPr>
              <w:t>爆破作业未设警戒范围及信号标志，未派专人指挥</w:t>
            </w:r>
          </w:p>
        </w:tc>
        <w:tc>
          <w:tcPr>
            <w:tcW w:w="1205" w:type="dxa"/>
            <w:gridSpan w:val="3"/>
            <w:noWrap w:val="0"/>
            <w:vAlign w:val="top"/>
          </w:tcPr>
          <w:p w14:paraId="66F85CCE">
            <w:pPr>
              <w:snapToGrid w:val="0"/>
              <w:jc w:val="center"/>
              <w:rPr>
                <w:color w:val="auto"/>
                <w:sz w:val="21"/>
                <w:szCs w:val="21"/>
                <w:highlight w:val="none"/>
                <w:u w:val="single"/>
              </w:rPr>
            </w:pPr>
          </w:p>
        </w:tc>
      </w:tr>
      <w:tr w14:paraId="0174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2971E82">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2</w:t>
            </w:r>
            <w:r>
              <w:rPr>
                <w:color w:val="auto"/>
                <w:sz w:val="21"/>
                <w:szCs w:val="21"/>
                <w:highlight w:val="none"/>
                <w:u w:val="single"/>
              </w:rPr>
              <w:t>.5</w:t>
            </w:r>
          </w:p>
        </w:tc>
        <w:tc>
          <w:tcPr>
            <w:tcW w:w="7308" w:type="dxa"/>
            <w:noWrap w:val="0"/>
            <w:vAlign w:val="top"/>
          </w:tcPr>
          <w:p w14:paraId="308D6881">
            <w:pPr>
              <w:snapToGrid w:val="0"/>
              <w:rPr>
                <w:color w:val="auto"/>
                <w:sz w:val="21"/>
                <w:szCs w:val="21"/>
                <w:highlight w:val="none"/>
                <w:u w:val="single"/>
              </w:rPr>
            </w:pPr>
            <w:r>
              <w:rPr>
                <w:color w:val="auto"/>
                <w:sz w:val="21"/>
                <w:szCs w:val="21"/>
                <w:highlight w:val="none"/>
                <w:u w:val="single"/>
              </w:rPr>
              <w:t>深基坑或地质复杂基坑未采取支护措施</w:t>
            </w:r>
          </w:p>
        </w:tc>
        <w:tc>
          <w:tcPr>
            <w:tcW w:w="1205" w:type="dxa"/>
            <w:gridSpan w:val="3"/>
            <w:noWrap w:val="0"/>
            <w:vAlign w:val="top"/>
          </w:tcPr>
          <w:p w14:paraId="13D546E2">
            <w:pPr>
              <w:snapToGrid w:val="0"/>
              <w:jc w:val="center"/>
              <w:rPr>
                <w:color w:val="auto"/>
                <w:sz w:val="21"/>
                <w:szCs w:val="21"/>
                <w:highlight w:val="none"/>
                <w:u w:val="single"/>
              </w:rPr>
            </w:pPr>
          </w:p>
        </w:tc>
      </w:tr>
      <w:tr w14:paraId="0099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20A4B760">
            <w:pPr>
              <w:tabs>
                <w:tab w:val="center" w:pos="4765"/>
                <w:tab w:val="left" w:pos="6315"/>
              </w:tabs>
              <w:snapToGrid w:val="0"/>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3</w:t>
            </w:r>
            <w:r>
              <w:rPr>
                <w:color w:val="auto"/>
                <w:sz w:val="21"/>
                <w:szCs w:val="21"/>
                <w:highlight w:val="none"/>
                <w:u w:val="single"/>
              </w:rPr>
              <w:t>.桩基及地基处理</w:t>
            </w:r>
            <w:r>
              <w:rPr>
                <w:rFonts w:hint="eastAsia"/>
                <w:color w:val="auto"/>
                <w:sz w:val="21"/>
                <w:szCs w:val="21"/>
                <w:highlight w:val="none"/>
                <w:u w:val="single"/>
              </w:rPr>
              <w:t xml:space="preserve">     </w:t>
            </w:r>
            <w:r>
              <w:rPr>
                <w:color w:val="auto"/>
                <w:sz w:val="21"/>
                <w:szCs w:val="21"/>
                <w:highlight w:val="none"/>
                <w:u w:val="single"/>
              </w:rPr>
              <w:t>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28572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E7183B9">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3</w:t>
            </w:r>
            <w:r>
              <w:rPr>
                <w:color w:val="auto"/>
                <w:sz w:val="21"/>
                <w:szCs w:val="21"/>
                <w:highlight w:val="none"/>
                <w:u w:val="single"/>
              </w:rPr>
              <w:t>.1</w:t>
            </w:r>
          </w:p>
        </w:tc>
        <w:tc>
          <w:tcPr>
            <w:tcW w:w="7371" w:type="dxa"/>
            <w:gridSpan w:val="2"/>
            <w:noWrap w:val="0"/>
            <w:vAlign w:val="top"/>
          </w:tcPr>
          <w:p w14:paraId="7EAA0BE6">
            <w:pPr>
              <w:snapToGrid w:val="0"/>
              <w:rPr>
                <w:color w:val="auto"/>
                <w:sz w:val="21"/>
                <w:szCs w:val="21"/>
                <w:highlight w:val="none"/>
                <w:u w:val="single"/>
              </w:rPr>
            </w:pPr>
            <w:r>
              <w:rPr>
                <w:color w:val="auto"/>
                <w:sz w:val="21"/>
                <w:szCs w:val="21"/>
                <w:highlight w:val="none"/>
                <w:u w:val="single"/>
              </w:rPr>
              <w:t>移动桩架时未采取防倾倒措施</w:t>
            </w:r>
          </w:p>
        </w:tc>
        <w:tc>
          <w:tcPr>
            <w:tcW w:w="1142" w:type="dxa"/>
            <w:gridSpan w:val="2"/>
            <w:noWrap w:val="0"/>
            <w:vAlign w:val="top"/>
          </w:tcPr>
          <w:p w14:paraId="549D486B">
            <w:pPr>
              <w:snapToGrid w:val="0"/>
              <w:jc w:val="center"/>
              <w:rPr>
                <w:color w:val="auto"/>
                <w:sz w:val="21"/>
                <w:szCs w:val="21"/>
                <w:highlight w:val="none"/>
                <w:u w:val="single"/>
              </w:rPr>
            </w:pPr>
          </w:p>
        </w:tc>
      </w:tr>
      <w:tr w14:paraId="7727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4BB66A05">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3</w:t>
            </w:r>
            <w:r>
              <w:rPr>
                <w:color w:val="auto"/>
                <w:sz w:val="21"/>
                <w:szCs w:val="21"/>
                <w:highlight w:val="none"/>
                <w:u w:val="single"/>
              </w:rPr>
              <w:t>.2</w:t>
            </w:r>
          </w:p>
        </w:tc>
        <w:tc>
          <w:tcPr>
            <w:tcW w:w="7371" w:type="dxa"/>
            <w:gridSpan w:val="2"/>
            <w:noWrap w:val="0"/>
            <w:vAlign w:val="top"/>
          </w:tcPr>
          <w:p w14:paraId="017A086C">
            <w:pPr>
              <w:snapToGrid w:val="0"/>
              <w:rPr>
                <w:color w:val="auto"/>
                <w:sz w:val="21"/>
                <w:szCs w:val="21"/>
                <w:highlight w:val="none"/>
                <w:u w:val="single"/>
              </w:rPr>
            </w:pPr>
            <w:r>
              <w:rPr>
                <w:color w:val="auto"/>
                <w:sz w:val="21"/>
                <w:szCs w:val="21"/>
                <w:highlight w:val="none"/>
                <w:u w:val="single"/>
              </w:rPr>
              <w:t>人工挖孔桩未有可靠护壁并设专人监护</w:t>
            </w:r>
          </w:p>
        </w:tc>
        <w:tc>
          <w:tcPr>
            <w:tcW w:w="1142" w:type="dxa"/>
            <w:gridSpan w:val="2"/>
            <w:noWrap w:val="0"/>
            <w:vAlign w:val="top"/>
          </w:tcPr>
          <w:p w14:paraId="51FC8721">
            <w:pPr>
              <w:snapToGrid w:val="0"/>
              <w:jc w:val="center"/>
              <w:rPr>
                <w:color w:val="auto"/>
                <w:sz w:val="21"/>
                <w:szCs w:val="21"/>
                <w:highlight w:val="none"/>
                <w:u w:val="single"/>
              </w:rPr>
            </w:pPr>
          </w:p>
        </w:tc>
      </w:tr>
      <w:tr w14:paraId="2AD08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18660F9C">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3</w:t>
            </w:r>
            <w:r>
              <w:rPr>
                <w:color w:val="auto"/>
                <w:sz w:val="21"/>
                <w:szCs w:val="21"/>
                <w:highlight w:val="none"/>
                <w:u w:val="single"/>
              </w:rPr>
              <w:t>.3</w:t>
            </w:r>
          </w:p>
        </w:tc>
        <w:tc>
          <w:tcPr>
            <w:tcW w:w="7371" w:type="dxa"/>
            <w:gridSpan w:val="2"/>
            <w:noWrap w:val="0"/>
            <w:vAlign w:val="top"/>
          </w:tcPr>
          <w:p w14:paraId="36070A1F">
            <w:pPr>
              <w:snapToGrid w:val="0"/>
              <w:rPr>
                <w:color w:val="auto"/>
                <w:sz w:val="21"/>
                <w:szCs w:val="21"/>
                <w:highlight w:val="none"/>
                <w:u w:val="single"/>
              </w:rPr>
            </w:pPr>
            <w:r>
              <w:rPr>
                <w:color w:val="auto"/>
                <w:sz w:val="21"/>
                <w:szCs w:val="21"/>
                <w:highlight w:val="none"/>
                <w:u w:val="single"/>
              </w:rPr>
              <w:t>强夯区域未设警戒区域</w:t>
            </w:r>
          </w:p>
        </w:tc>
        <w:tc>
          <w:tcPr>
            <w:tcW w:w="1142" w:type="dxa"/>
            <w:gridSpan w:val="2"/>
            <w:noWrap w:val="0"/>
            <w:vAlign w:val="top"/>
          </w:tcPr>
          <w:p w14:paraId="05223F28">
            <w:pPr>
              <w:snapToGrid w:val="0"/>
              <w:jc w:val="center"/>
              <w:rPr>
                <w:color w:val="auto"/>
                <w:sz w:val="21"/>
                <w:szCs w:val="21"/>
                <w:highlight w:val="none"/>
                <w:u w:val="single"/>
              </w:rPr>
            </w:pPr>
          </w:p>
        </w:tc>
      </w:tr>
      <w:tr w14:paraId="7BA24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2F61613E">
            <w:pPr>
              <w:snapToGrid w:val="0"/>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4</w:t>
            </w:r>
            <w:r>
              <w:rPr>
                <w:color w:val="auto"/>
                <w:sz w:val="21"/>
                <w:szCs w:val="21"/>
                <w:highlight w:val="none"/>
                <w:u w:val="single"/>
              </w:rPr>
              <w:t>.混凝土结构施工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714CB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5EA9CCE">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4</w:t>
            </w:r>
            <w:r>
              <w:rPr>
                <w:color w:val="auto"/>
                <w:sz w:val="21"/>
                <w:szCs w:val="21"/>
                <w:highlight w:val="none"/>
                <w:u w:val="single"/>
              </w:rPr>
              <w:t>.1</w:t>
            </w:r>
          </w:p>
        </w:tc>
        <w:tc>
          <w:tcPr>
            <w:tcW w:w="7371" w:type="dxa"/>
            <w:gridSpan w:val="2"/>
            <w:noWrap w:val="0"/>
            <w:vAlign w:val="top"/>
          </w:tcPr>
          <w:p w14:paraId="6AFBF4E7">
            <w:pPr>
              <w:snapToGrid w:val="0"/>
              <w:rPr>
                <w:color w:val="auto"/>
                <w:sz w:val="21"/>
                <w:szCs w:val="21"/>
                <w:highlight w:val="none"/>
                <w:u w:val="single"/>
              </w:rPr>
            </w:pPr>
            <w:r>
              <w:rPr>
                <w:color w:val="auto"/>
                <w:sz w:val="21"/>
                <w:szCs w:val="21"/>
                <w:highlight w:val="none"/>
                <w:u w:val="single"/>
              </w:rPr>
              <w:t>松动或悬挂模板、扣件、混凝土块未及时清理</w:t>
            </w:r>
          </w:p>
        </w:tc>
        <w:tc>
          <w:tcPr>
            <w:tcW w:w="1142" w:type="dxa"/>
            <w:gridSpan w:val="2"/>
            <w:noWrap w:val="0"/>
            <w:vAlign w:val="top"/>
          </w:tcPr>
          <w:p w14:paraId="124CFD41">
            <w:pPr>
              <w:snapToGrid w:val="0"/>
              <w:jc w:val="center"/>
              <w:rPr>
                <w:color w:val="auto"/>
                <w:sz w:val="21"/>
                <w:szCs w:val="21"/>
                <w:highlight w:val="none"/>
                <w:u w:val="single"/>
              </w:rPr>
            </w:pPr>
          </w:p>
        </w:tc>
      </w:tr>
      <w:tr w14:paraId="3F817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6D8F6BB7">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4</w:t>
            </w:r>
            <w:r>
              <w:rPr>
                <w:color w:val="auto"/>
                <w:sz w:val="21"/>
                <w:szCs w:val="21"/>
                <w:highlight w:val="none"/>
                <w:u w:val="single"/>
              </w:rPr>
              <w:t>.2</w:t>
            </w:r>
          </w:p>
        </w:tc>
        <w:tc>
          <w:tcPr>
            <w:tcW w:w="7371" w:type="dxa"/>
            <w:gridSpan w:val="2"/>
            <w:noWrap w:val="0"/>
            <w:vAlign w:val="top"/>
          </w:tcPr>
          <w:p w14:paraId="7C72BCC9">
            <w:pPr>
              <w:snapToGrid w:val="0"/>
              <w:rPr>
                <w:color w:val="auto"/>
                <w:sz w:val="21"/>
                <w:szCs w:val="21"/>
                <w:highlight w:val="none"/>
                <w:u w:val="single"/>
              </w:rPr>
            </w:pPr>
            <w:r>
              <w:rPr>
                <w:color w:val="auto"/>
                <w:sz w:val="21"/>
                <w:szCs w:val="21"/>
                <w:highlight w:val="none"/>
                <w:u w:val="single"/>
              </w:rPr>
              <w:t>钢筋冷拉两侧2米未设警戒区域，使用不符合要求冷拉夹头，冷拉卷扬机处未设档板</w:t>
            </w:r>
          </w:p>
        </w:tc>
        <w:tc>
          <w:tcPr>
            <w:tcW w:w="1142" w:type="dxa"/>
            <w:gridSpan w:val="2"/>
            <w:noWrap w:val="0"/>
            <w:vAlign w:val="top"/>
          </w:tcPr>
          <w:p w14:paraId="19A0202B">
            <w:pPr>
              <w:snapToGrid w:val="0"/>
              <w:jc w:val="center"/>
              <w:rPr>
                <w:color w:val="auto"/>
                <w:sz w:val="21"/>
                <w:szCs w:val="21"/>
                <w:highlight w:val="none"/>
                <w:u w:val="single"/>
              </w:rPr>
            </w:pPr>
          </w:p>
        </w:tc>
      </w:tr>
      <w:tr w14:paraId="40EB8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03FAD52">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4</w:t>
            </w:r>
            <w:r>
              <w:rPr>
                <w:color w:val="auto"/>
                <w:sz w:val="21"/>
                <w:szCs w:val="21"/>
                <w:highlight w:val="none"/>
                <w:u w:val="single"/>
              </w:rPr>
              <w:t>.3</w:t>
            </w:r>
          </w:p>
        </w:tc>
        <w:tc>
          <w:tcPr>
            <w:tcW w:w="7371" w:type="dxa"/>
            <w:gridSpan w:val="2"/>
            <w:noWrap w:val="0"/>
            <w:vAlign w:val="top"/>
          </w:tcPr>
          <w:p w14:paraId="7F018190">
            <w:pPr>
              <w:snapToGrid w:val="0"/>
              <w:rPr>
                <w:color w:val="auto"/>
                <w:sz w:val="21"/>
                <w:szCs w:val="21"/>
                <w:highlight w:val="none"/>
                <w:u w:val="single"/>
              </w:rPr>
            </w:pPr>
            <w:r>
              <w:rPr>
                <w:color w:val="auto"/>
                <w:sz w:val="21"/>
                <w:szCs w:val="21"/>
                <w:highlight w:val="none"/>
                <w:u w:val="single"/>
              </w:rPr>
              <w:t>钢筋绑扎未采取防止倾倒和人员坠落措施</w:t>
            </w:r>
          </w:p>
        </w:tc>
        <w:tc>
          <w:tcPr>
            <w:tcW w:w="1142" w:type="dxa"/>
            <w:gridSpan w:val="2"/>
            <w:noWrap w:val="0"/>
            <w:vAlign w:val="top"/>
          </w:tcPr>
          <w:p w14:paraId="627E1FBF">
            <w:pPr>
              <w:snapToGrid w:val="0"/>
              <w:jc w:val="center"/>
              <w:rPr>
                <w:color w:val="auto"/>
                <w:sz w:val="21"/>
                <w:szCs w:val="21"/>
                <w:highlight w:val="none"/>
                <w:u w:val="single"/>
              </w:rPr>
            </w:pPr>
          </w:p>
        </w:tc>
      </w:tr>
      <w:tr w14:paraId="4B8CA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99A7D9D">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4</w:t>
            </w:r>
            <w:r>
              <w:rPr>
                <w:color w:val="auto"/>
                <w:sz w:val="21"/>
                <w:szCs w:val="21"/>
                <w:highlight w:val="none"/>
                <w:u w:val="single"/>
              </w:rPr>
              <w:t>.4</w:t>
            </w:r>
          </w:p>
        </w:tc>
        <w:tc>
          <w:tcPr>
            <w:tcW w:w="7371" w:type="dxa"/>
            <w:gridSpan w:val="2"/>
            <w:noWrap w:val="0"/>
            <w:vAlign w:val="top"/>
          </w:tcPr>
          <w:p w14:paraId="09DD0E94">
            <w:pPr>
              <w:snapToGrid w:val="0"/>
              <w:rPr>
                <w:color w:val="auto"/>
                <w:sz w:val="21"/>
                <w:szCs w:val="21"/>
                <w:highlight w:val="none"/>
                <w:u w:val="single"/>
              </w:rPr>
            </w:pPr>
            <w:r>
              <w:rPr>
                <w:color w:val="auto"/>
                <w:sz w:val="21"/>
                <w:szCs w:val="21"/>
                <w:highlight w:val="none"/>
                <w:u w:val="single"/>
              </w:rPr>
              <w:t>振动器操作人员未穿胶鞋、戴绝缘手套</w:t>
            </w:r>
          </w:p>
        </w:tc>
        <w:tc>
          <w:tcPr>
            <w:tcW w:w="1142" w:type="dxa"/>
            <w:gridSpan w:val="2"/>
            <w:noWrap w:val="0"/>
            <w:vAlign w:val="top"/>
          </w:tcPr>
          <w:p w14:paraId="27E57CB5">
            <w:pPr>
              <w:snapToGrid w:val="0"/>
              <w:jc w:val="center"/>
              <w:rPr>
                <w:color w:val="auto"/>
                <w:sz w:val="21"/>
                <w:szCs w:val="21"/>
                <w:highlight w:val="none"/>
                <w:u w:val="single"/>
              </w:rPr>
            </w:pPr>
          </w:p>
        </w:tc>
      </w:tr>
      <w:tr w14:paraId="0CB91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00" w:type="dxa"/>
            <w:gridSpan w:val="5"/>
            <w:noWrap w:val="0"/>
            <w:vAlign w:val="center"/>
          </w:tcPr>
          <w:p w14:paraId="24B7778B">
            <w:pPr>
              <w:snapToGrid w:val="0"/>
              <w:jc w:val="left"/>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.烟囱工程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23118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874FFEF">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.1</w:t>
            </w:r>
          </w:p>
        </w:tc>
        <w:tc>
          <w:tcPr>
            <w:tcW w:w="7371" w:type="dxa"/>
            <w:gridSpan w:val="2"/>
            <w:noWrap w:val="0"/>
            <w:vAlign w:val="top"/>
          </w:tcPr>
          <w:p w14:paraId="386648D5">
            <w:pPr>
              <w:snapToGrid w:val="0"/>
              <w:rPr>
                <w:color w:val="auto"/>
                <w:sz w:val="21"/>
                <w:szCs w:val="21"/>
                <w:highlight w:val="none"/>
                <w:u w:val="single"/>
              </w:rPr>
            </w:pPr>
            <w:r>
              <w:rPr>
                <w:color w:val="auto"/>
                <w:sz w:val="21"/>
                <w:szCs w:val="21"/>
                <w:highlight w:val="none"/>
                <w:u w:val="single"/>
              </w:rPr>
              <w:t>烟囱工程未划分危险区，未设置围栏和警告牌</w:t>
            </w:r>
          </w:p>
        </w:tc>
        <w:tc>
          <w:tcPr>
            <w:tcW w:w="1142" w:type="dxa"/>
            <w:gridSpan w:val="2"/>
            <w:noWrap w:val="0"/>
            <w:vAlign w:val="top"/>
          </w:tcPr>
          <w:p w14:paraId="4DE64B59">
            <w:pPr>
              <w:snapToGrid w:val="0"/>
              <w:jc w:val="center"/>
              <w:rPr>
                <w:color w:val="auto"/>
                <w:sz w:val="21"/>
                <w:szCs w:val="21"/>
                <w:highlight w:val="none"/>
                <w:u w:val="single"/>
              </w:rPr>
            </w:pPr>
          </w:p>
        </w:tc>
      </w:tr>
      <w:tr w14:paraId="7E611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BCF4466">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.2</w:t>
            </w:r>
          </w:p>
        </w:tc>
        <w:tc>
          <w:tcPr>
            <w:tcW w:w="7371" w:type="dxa"/>
            <w:gridSpan w:val="2"/>
            <w:noWrap w:val="0"/>
            <w:vAlign w:val="top"/>
          </w:tcPr>
          <w:p w14:paraId="7838EAB5">
            <w:pPr>
              <w:snapToGrid w:val="0"/>
              <w:rPr>
                <w:color w:val="auto"/>
                <w:sz w:val="21"/>
                <w:szCs w:val="21"/>
                <w:highlight w:val="none"/>
                <w:u w:val="single"/>
              </w:rPr>
            </w:pPr>
            <w:r>
              <w:rPr>
                <w:color w:val="auto"/>
                <w:sz w:val="21"/>
                <w:szCs w:val="21"/>
                <w:highlight w:val="none"/>
                <w:u w:val="single"/>
              </w:rPr>
              <w:t>烟囱入口通道未搭设</w:t>
            </w:r>
            <w:r>
              <w:rPr>
                <w:rFonts w:hint="eastAsia"/>
                <w:color w:val="auto"/>
                <w:sz w:val="21"/>
                <w:szCs w:val="21"/>
                <w:highlight w:val="none"/>
                <w:u w:val="single"/>
              </w:rPr>
              <w:t>符合规范要求的</w:t>
            </w:r>
            <w:r>
              <w:rPr>
                <w:color w:val="auto"/>
                <w:sz w:val="21"/>
                <w:szCs w:val="21"/>
                <w:highlight w:val="none"/>
                <w:u w:val="single"/>
              </w:rPr>
              <w:t>防护隔离层</w:t>
            </w:r>
          </w:p>
        </w:tc>
        <w:tc>
          <w:tcPr>
            <w:tcW w:w="1142" w:type="dxa"/>
            <w:gridSpan w:val="2"/>
            <w:noWrap w:val="0"/>
            <w:vAlign w:val="top"/>
          </w:tcPr>
          <w:p w14:paraId="66AE70F3">
            <w:pPr>
              <w:snapToGrid w:val="0"/>
              <w:jc w:val="center"/>
              <w:rPr>
                <w:color w:val="auto"/>
                <w:sz w:val="21"/>
                <w:szCs w:val="21"/>
                <w:highlight w:val="none"/>
                <w:u w:val="single"/>
              </w:rPr>
            </w:pPr>
          </w:p>
        </w:tc>
      </w:tr>
      <w:tr w14:paraId="4DB93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82FF072">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.3</w:t>
            </w:r>
          </w:p>
        </w:tc>
        <w:tc>
          <w:tcPr>
            <w:tcW w:w="7371" w:type="dxa"/>
            <w:gridSpan w:val="2"/>
            <w:noWrap w:val="0"/>
            <w:vAlign w:val="top"/>
          </w:tcPr>
          <w:p w14:paraId="5ED55B92">
            <w:pPr>
              <w:snapToGrid w:val="0"/>
              <w:rPr>
                <w:color w:val="auto"/>
                <w:sz w:val="21"/>
                <w:szCs w:val="21"/>
                <w:highlight w:val="none"/>
                <w:u w:val="single"/>
              </w:rPr>
            </w:pPr>
            <w:r>
              <w:rPr>
                <w:color w:val="auto"/>
                <w:sz w:val="21"/>
                <w:szCs w:val="21"/>
                <w:highlight w:val="none"/>
                <w:u w:val="single"/>
              </w:rPr>
              <w:t>烟囱井架未按规定设置缆风绳</w:t>
            </w:r>
          </w:p>
        </w:tc>
        <w:tc>
          <w:tcPr>
            <w:tcW w:w="1142" w:type="dxa"/>
            <w:gridSpan w:val="2"/>
            <w:noWrap w:val="0"/>
            <w:vAlign w:val="top"/>
          </w:tcPr>
          <w:p w14:paraId="33791A8E">
            <w:pPr>
              <w:snapToGrid w:val="0"/>
              <w:jc w:val="center"/>
              <w:rPr>
                <w:color w:val="auto"/>
                <w:sz w:val="21"/>
                <w:szCs w:val="21"/>
                <w:highlight w:val="none"/>
                <w:u w:val="single"/>
              </w:rPr>
            </w:pPr>
          </w:p>
        </w:tc>
      </w:tr>
      <w:tr w14:paraId="49CD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53E4E86">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.4</w:t>
            </w:r>
          </w:p>
        </w:tc>
        <w:tc>
          <w:tcPr>
            <w:tcW w:w="7371" w:type="dxa"/>
            <w:gridSpan w:val="2"/>
            <w:noWrap w:val="0"/>
            <w:vAlign w:val="top"/>
          </w:tcPr>
          <w:p w14:paraId="62DBD52D">
            <w:pPr>
              <w:snapToGrid w:val="0"/>
              <w:rPr>
                <w:color w:val="auto"/>
                <w:sz w:val="21"/>
                <w:szCs w:val="21"/>
                <w:highlight w:val="none"/>
                <w:u w:val="single"/>
              </w:rPr>
            </w:pPr>
            <w:r>
              <w:rPr>
                <w:color w:val="auto"/>
                <w:sz w:val="21"/>
                <w:szCs w:val="21"/>
                <w:highlight w:val="none"/>
                <w:u w:val="single"/>
              </w:rPr>
              <w:t>烟囱平台未按规定设置栏杆与安全网</w:t>
            </w:r>
          </w:p>
        </w:tc>
        <w:tc>
          <w:tcPr>
            <w:tcW w:w="1142" w:type="dxa"/>
            <w:gridSpan w:val="2"/>
            <w:noWrap w:val="0"/>
            <w:vAlign w:val="top"/>
          </w:tcPr>
          <w:p w14:paraId="5809CA23">
            <w:pPr>
              <w:snapToGrid w:val="0"/>
              <w:jc w:val="center"/>
              <w:rPr>
                <w:color w:val="auto"/>
                <w:sz w:val="21"/>
                <w:szCs w:val="21"/>
                <w:highlight w:val="none"/>
                <w:u w:val="single"/>
              </w:rPr>
            </w:pPr>
          </w:p>
        </w:tc>
      </w:tr>
      <w:tr w14:paraId="2B06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D913E97">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5</w:t>
            </w:r>
            <w:r>
              <w:rPr>
                <w:color w:val="auto"/>
                <w:sz w:val="21"/>
                <w:szCs w:val="21"/>
                <w:highlight w:val="none"/>
                <w:u w:val="single"/>
              </w:rPr>
              <w:t>.5</w:t>
            </w:r>
          </w:p>
        </w:tc>
        <w:tc>
          <w:tcPr>
            <w:tcW w:w="7371" w:type="dxa"/>
            <w:gridSpan w:val="2"/>
            <w:noWrap w:val="0"/>
            <w:vAlign w:val="top"/>
          </w:tcPr>
          <w:p w14:paraId="6800E65C">
            <w:pPr>
              <w:snapToGrid w:val="0"/>
              <w:rPr>
                <w:color w:val="auto"/>
                <w:sz w:val="21"/>
                <w:szCs w:val="21"/>
                <w:highlight w:val="none"/>
                <w:u w:val="single"/>
              </w:rPr>
            </w:pPr>
            <w:r>
              <w:rPr>
                <w:color w:val="auto"/>
                <w:sz w:val="21"/>
                <w:szCs w:val="21"/>
                <w:highlight w:val="none"/>
                <w:u w:val="single"/>
              </w:rPr>
              <w:t>烟囱外侧使用</w:t>
            </w:r>
            <w:r>
              <w:rPr>
                <w:rFonts w:hint="eastAsia"/>
                <w:color w:val="auto"/>
                <w:sz w:val="21"/>
                <w:szCs w:val="21"/>
                <w:highlight w:val="none"/>
                <w:u w:val="single"/>
              </w:rPr>
              <w:t>吊篮</w:t>
            </w:r>
            <w:r>
              <w:rPr>
                <w:color w:val="auto"/>
                <w:sz w:val="21"/>
                <w:szCs w:val="21"/>
                <w:highlight w:val="none"/>
                <w:u w:val="single"/>
              </w:rPr>
              <w:t>进行作业时未设保险钢绳、防护绳，人员未扣安全带</w:t>
            </w:r>
          </w:p>
        </w:tc>
        <w:tc>
          <w:tcPr>
            <w:tcW w:w="1142" w:type="dxa"/>
            <w:gridSpan w:val="2"/>
            <w:noWrap w:val="0"/>
            <w:vAlign w:val="top"/>
          </w:tcPr>
          <w:p w14:paraId="387E7DC7">
            <w:pPr>
              <w:snapToGrid w:val="0"/>
              <w:jc w:val="center"/>
              <w:rPr>
                <w:color w:val="auto"/>
                <w:sz w:val="21"/>
                <w:szCs w:val="21"/>
                <w:highlight w:val="none"/>
                <w:u w:val="single"/>
              </w:rPr>
            </w:pPr>
          </w:p>
        </w:tc>
      </w:tr>
      <w:tr w14:paraId="0A5DF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00" w:type="dxa"/>
            <w:gridSpan w:val="5"/>
            <w:noWrap w:val="0"/>
            <w:vAlign w:val="top"/>
          </w:tcPr>
          <w:p w14:paraId="4952192B">
            <w:pPr>
              <w:snapToGrid w:val="0"/>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.调试    违反下列行为给予</w:t>
            </w:r>
            <w:r>
              <w:rPr>
                <w:rFonts w:hint="eastAsia"/>
                <w:color w:val="auto"/>
                <w:sz w:val="21"/>
                <w:szCs w:val="21"/>
                <w:highlight w:val="none"/>
                <w:u w:val="single"/>
                <w:lang w:val="en-US" w:eastAsia="zh-CN"/>
              </w:rPr>
              <w:t>5</w:t>
            </w:r>
            <w:r>
              <w:rPr>
                <w:color w:val="auto"/>
                <w:sz w:val="21"/>
                <w:szCs w:val="21"/>
                <w:highlight w:val="none"/>
                <w:u w:val="single"/>
              </w:rPr>
              <w:t>000-</w:t>
            </w:r>
            <w:r>
              <w:rPr>
                <w:rFonts w:hint="eastAsia"/>
                <w:color w:val="auto"/>
                <w:sz w:val="21"/>
                <w:szCs w:val="21"/>
                <w:highlight w:val="none"/>
                <w:u w:val="single"/>
                <w:lang w:val="en-US" w:eastAsia="zh-CN"/>
              </w:rPr>
              <w:t>10</w:t>
            </w:r>
            <w:r>
              <w:rPr>
                <w:color w:val="auto"/>
                <w:sz w:val="21"/>
                <w:szCs w:val="21"/>
                <w:highlight w:val="none"/>
                <w:u w:val="single"/>
              </w:rPr>
              <w:t>000元处罚</w:t>
            </w:r>
          </w:p>
        </w:tc>
      </w:tr>
      <w:tr w14:paraId="769B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5F9D7E1F">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.1</w:t>
            </w:r>
          </w:p>
        </w:tc>
        <w:tc>
          <w:tcPr>
            <w:tcW w:w="7308" w:type="dxa"/>
            <w:noWrap w:val="0"/>
            <w:vAlign w:val="top"/>
          </w:tcPr>
          <w:p w14:paraId="5F5E839B">
            <w:pPr>
              <w:snapToGrid w:val="0"/>
              <w:rPr>
                <w:color w:val="auto"/>
                <w:sz w:val="21"/>
                <w:szCs w:val="21"/>
                <w:highlight w:val="none"/>
                <w:u w:val="single"/>
              </w:rPr>
            </w:pPr>
            <w:r>
              <w:rPr>
                <w:color w:val="auto"/>
                <w:sz w:val="21"/>
                <w:szCs w:val="21"/>
                <w:highlight w:val="none"/>
                <w:u w:val="single"/>
              </w:rPr>
              <w:t>电气设备受电前、机械设备试转前，未有警戒区域，未设专人监护</w:t>
            </w:r>
          </w:p>
        </w:tc>
        <w:tc>
          <w:tcPr>
            <w:tcW w:w="1205" w:type="dxa"/>
            <w:gridSpan w:val="3"/>
            <w:noWrap w:val="0"/>
            <w:vAlign w:val="top"/>
          </w:tcPr>
          <w:p w14:paraId="7AA44727">
            <w:pPr>
              <w:snapToGrid w:val="0"/>
              <w:jc w:val="center"/>
              <w:rPr>
                <w:color w:val="auto"/>
                <w:sz w:val="21"/>
                <w:szCs w:val="21"/>
                <w:highlight w:val="none"/>
                <w:u w:val="single"/>
              </w:rPr>
            </w:pPr>
          </w:p>
        </w:tc>
      </w:tr>
      <w:tr w14:paraId="352DB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2BB2B8B7">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.2</w:t>
            </w:r>
          </w:p>
        </w:tc>
        <w:tc>
          <w:tcPr>
            <w:tcW w:w="7308" w:type="dxa"/>
            <w:noWrap w:val="0"/>
            <w:vAlign w:val="top"/>
          </w:tcPr>
          <w:p w14:paraId="5D4A7391">
            <w:pPr>
              <w:snapToGrid w:val="0"/>
              <w:rPr>
                <w:color w:val="auto"/>
                <w:sz w:val="21"/>
                <w:szCs w:val="21"/>
                <w:highlight w:val="none"/>
                <w:u w:val="single"/>
              </w:rPr>
            </w:pPr>
            <w:r>
              <w:rPr>
                <w:color w:val="auto"/>
                <w:sz w:val="21"/>
                <w:szCs w:val="21"/>
                <w:highlight w:val="none"/>
                <w:u w:val="single"/>
              </w:rPr>
              <w:t>对运行设备的旋转部分进行清扫、擦拭或润滑</w:t>
            </w:r>
          </w:p>
        </w:tc>
        <w:tc>
          <w:tcPr>
            <w:tcW w:w="1205" w:type="dxa"/>
            <w:gridSpan w:val="3"/>
            <w:noWrap w:val="0"/>
            <w:vAlign w:val="top"/>
          </w:tcPr>
          <w:p w14:paraId="34CBBDDA">
            <w:pPr>
              <w:snapToGrid w:val="0"/>
              <w:jc w:val="center"/>
              <w:rPr>
                <w:color w:val="auto"/>
                <w:sz w:val="21"/>
                <w:szCs w:val="21"/>
                <w:highlight w:val="none"/>
                <w:u w:val="single"/>
              </w:rPr>
            </w:pPr>
          </w:p>
        </w:tc>
      </w:tr>
      <w:tr w14:paraId="5E8F1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058679BF">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.3</w:t>
            </w:r>
          </w:p>
        </w:tc>
        <w:tc>
          <w:tcPr>
            <w:tcW w:w="7308" w:type="dxa"/>
            <w:noWrap w:val="0"/>
            <w:vAlign w:val="top"/>
          </w:tcPr>
          <w:p w14:paraId="3E6FB723">
            <w:pPr>
              <w:snapToGrid w:val="0"/>
              <w:rPr>
                <w:color w:val="auto"/>
                <w:sz w:val="21"/>
                <w:szCs w:val="21"/>
                <w:highlight w:val="none"/>
                <w:u w:val="single"/>
              </w:rPr>
            </w:pPr>
            <w:r>
              <w:rPr>
                <w:color w:val="auto"/>
                <w:sz w:val="21"/>
                <w:szCs w:val="21"/>
                <w:highlight w:val="none"/>
                <w:u w:val="single"/>
              </w:rPr>
              <w:t>在带有压力管道、阀门进行检修工作</w:t>
            </w:r>
          </w:p>
        </w:tc>
        <w:tc>
          <w:tcPr>
            <w:tcW w:w="1205" w:type="dxa"/>
            <w:gridSpan w:val="3"/>
            <w:noWrap w:val="0"/>
            <w:vAlign w:val="top"/>
          </w:tcPr>
          <w:p w14:paraId="298D6FC4">
            <w:pPr>
              <w:snapToGrid w:val="0"/>
              <w:jc w:val="center"/>
              <w:rPr>
                <w:color w:val="auto"/>
                <w:sz w:val="21"/>
                <w:szCs w:val="21"/>
                <w:highlight w:val="none"/>
                <w:u w:val="single"/>
              </w:rPr>
            </w:pPr>
          </w:p>
        </w:tc>
      </w:tr>
      <w:tr w14:paraId="5867D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BB8029A">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.4</w:t>
            </w:r>
          </w:p>
        </w:tc>
        <w:tc>
          <w:tcPr>
            <w:tcW w:w="7308" w:type="dxa"/>
            <w:noWrap w:val="0"/>
            <w:vAlign w:val="top"/>
          </w:tcPr>
          <w:p w14:paraId="0A69C7E3">
            <w:pPr>
              <w:snapToGrid w:val="0"/>
              <w:rPr>
                <w:color w:val="auto"/>
                <w:sz w:val="21"/>
                <w:szCs w:val="21"/>
                <w:highlight w:val="none"/>
                <w:u w:val="single"/>
              </w:rPr>
            </w:pPr>
            <w:r>
              <w:rPr>
                <w:color w:val="auto"/>
                <w:sz w:val="21"/>
                <w:szCs w:val="21"/>
                <w:highlight w:val="none"/>
                <w:u w:val="single"/>
              </w:rPr>
              <w:t>违反两票制度</w:t>
            </w:r>
          </w:p>
        </w:tc>
        <w:tc>
          <w:tcPr>
            <w:tcW w:w="1205" w:type="dxa"/>
            <w:gridSpan w:val="3"/>
            <w:noWrap w:val="0"/>
            <w:vAlign w:val="top"/>
          </w:tcPr>
          <w:p w14:paraId="1E115E5E">
            <w:pPr>
              <w:snapToGrid w:val="0"/>
              <w:jc w:val="center"/>
              <w:rPr>
                <w:color w:val="auto"/>
                <w:sz w:val="21"/>
                <w:szCs w:val="21"/>
                <w:highlight w:val="none"/>
                <w:u w:val="single"/>
              </w:rPr>
            </w:pPr>
          </w:p>
        </w:tc>
      </w:tr>
      <w:tr w14:paraId="2E44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7127D263">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.5</w:t>
            </w:r>
          </w:p>
        </w:tc>
        <w:tc>
          <w:tcPr>
            <w:tcW w:w="7308" w:type="dxa"/>
            <w:noWrap w:val="0"/>
            <w:vAlign w:val="top"/>
          </w:tcPr>
          <w:p w14:paraId="76169C7A">
            <w:pPr>
              <w:snapToGrid w:val="0"/>
              <w:rPr>
                <w:color w:val="auto"/>
                <w:sz w:val="21"/>
                <w:szCs w:val="21"/>
                <w:highlight w:val="none"/>
                <w:u w:val="single"/>
              </w:rPr>
            </w:pPr>
            <w:r>
              <w:rPr>
                <w:color w:val="auto"/>
                <w:sz w:val="21"/>
                <w:szCs w:val="21"/>
                <w:highlight w:val="none"/>
                <w:u w:val="single"/>
              </w:rPr>
              <w:t>对安装或消缺电气线路未挂警示牌</w:t>
            </w:r>
          </w:p>
        </w:tc>
        <w:tc>
          <w:tcPr>
            <w:tcW w:w="1205" w:type="dxa"/>
            <w:gridSpan w:val="3"/>
            <w:noWrap w:val="0"/>
            <w:vAlign w:val="top"/>
          </w:tcPr>
          <w:p w14:paraId="05FDE753">
            <w:pPr>
              <w:snapToGrid w:val="0"/>
              <w:jc w:val="center"/>
              <w:rPr>
                <w:color w:val="auto"/>
                <w:sz w:val="21"/>
                <w:szCs w:val="21"/>
                <w:highlight w:val="none"/>
                <w:u w:val="single"/>
              </w:rPr>
            </w:pPr>
          </w:p>
        </w:tc>
      </w:tr>
      <w:tr w14:paraId="04FC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noWrap w:val="0"/>
            <w:vAlign w:val="top"/>
          </w:tcPr>
          <w:p w14:paraId="3E8DC4E9">
            <w:pPr>
              <w:snapToGrid w:val="0"/>
              <w:jc w:val="center"/>
              <w:rPr>
                <w:color w:val="auto"/>
                <w:sz w:val="21"/>
                <w:szCs w:val="21"/>
                <w:highlight w:val="none"/>
                <w:u w:val="single"/>
              </w:rPr>
            </w:pPr>
            <w:r>
              <w:rPr>
                <w:color w:val="auto"/>
                <w:sz w:val="21"/>
                <w:szCs w:val="21"/>
                <w:highlight w:val="none"/>
                <w:u w:val="single"/>
              </w:rPr>
              <w:t>1</w:t>
            </w:r>
            <w:r>
              <w:rPr>
                <w:rFonts w:hint="eastAsia"/>
                <w:color w:val="auto"/>
                <w:sz w:val="21"/>
                <w:szCs w:val="21"/>
                <w:highlight w:val="none"/>
                <w:u w:val="single"/>
              </w:rPr>
              <w:t>6</w:t>
            </w:r>
            <w:r>
              <w:rPr>
                <w:color w:val="auto"/>
                <w:sz w:val="21"/>
                <w:szCs w:val="21"/>
                <w:highlight w:val="none"/>
                <w:u w:val="single"/>
              </w:rPr>
              <w:t>.6</w:t>
            </w:r>
          </w:p>
        </w:tc>
        <w:tc>
          <w:tcPr>
            <w:tcW w:w="7308" w:type="dxa"/>
            <w:noWrap w:val="0"/>
            <w:vAlign w:val="top"/>
          </w:tcPr>
          <w:p w14:paraId="521D4BF2">
            <w:pPr>
              <w:snapToGrid w:val="0"/>
              <w:rPr>
                <w:color w:val="auto"/>
                <w:sz w:val="21"/>
                <w:szCs w:val="21"/>
                <w:highlight w:val="none"/>
                <w:u w:val="single"/>
              </w:rPr>
            </w:pPr>
            <w:r>
              <w:rPr>
                <w:color w:val="auto"/>
                <w:sz w:val="21"/>
                <w:szCs w:val="21"/>
                <w:highlight w:val="none"/>
                <w:u w:val="single"/>
              </w:rPr>
              <w:t>其他违反电厂运行规定违章行为</w:t>
            </w:r>
          </w:p>
        </w:tc>
        <w:tc>
          <w:tcPr>
            <w:tcW w:w="1205" w:type="dxa"/>
            <w:gridSpan w:val="3"/>
            <w:noWrap w:val="0"/>
            <w:vAlign w:val="top"/>
          </w:tcPr>
          <w:p w14:paraId="291039BE">
            <w:pPr>
              <w:snapToGrid w:val="0"/>
              <w:jc w:val="center"/>
              <w:rPr>
                <w:color w:val="auto"/>
                <w:sz w:val="21"/>
                <w:szCs w:val="21"/>
                <w:highlight w:val="none"/>
                <w:u w:val="single"/>
              </w:rPr>
            </w:pPr>
          </w:p>
        </w:tc>
      </w:tr>
    </w:tbl>
    <w:p w14:paraId="0C131922">
      <w:pPr>
        <w:pStyle w:val="11"/>
        <w:snapToGrid w:val="0"/>
        <w:spacing w:line="360" w:lineRule="auto"/>
        <w:ind w:left="0" w:leftChars="0" w:right="290"/>
        <w:rPr>
          <w:color w:val="auto"/>
          <w:highlight w:val="none"/>
          <w:u w:val="single"/>
        </w:rPr>
      </w:pPr>
    </w:p>
    <w:p w14:paraId="11AEC4B1">
      <w:pPr>
        <w:pStyle w:val="11"/>
        <w:snapToGrid w:val="0"/>
        <w:spacing w:line="360" w:lineRule="auto"/>
        <w:ind w:left="0" w:leftChars="0" w:right="290"/>
        <w:rPr>
          <w:color w:val="auto"/>
          <w:highlight w:val="none"/>
          <w:u w:val="single"/>
        </w:rPr>
      </w:pPr>
    </w:p>
    <w:p w14:paraId="3ACC5858">
      <w:pPr>
        <w:pStyle w:val="11"/>
        <w:numPr>
          <w:ilvl w:val="0"/>
          <w:numId w:val="74"/>
        </w:numPr>
        <w:snapToGrid w:val="0"/>
        <w:spacing w:line="360" w:lineRule="auto"/>
        <w:ind w:left="0" w:leftChars="0" w:right="290" w:firstLine="567"/>
        <w:rPr>
          <w:color w:val="auto"/>
          <w:highlight w:val="none"/>
          <w:u w:val="single"/>
        </w:rPr>
      </w:pPr>
      <w:r>
        <w:rPr>
          <w:rFonts w:hint="eastAsia"/>
          <w:color w:val="auto"/>
          <w:highlight w:val="none"/>
          <w:u w:val="single"/>
        </w:rPr>
        <w:t>对于管理性违章行为，如无方案施工、违章指挥或强令冒险作业、安全管理职责履职不到位、上级专项工作或安全检查整改落实不及时、屡教不改等行为的，要加倍进行处罚；</w:t>
      </w:r>
    </w:p>
    <w:p w14:paraId="5348744B">
      <w:pPr>
        <w:pStyle w:val="11"/>
        <w:numPr>
          <w:ilvl w:val="0"/>
          <w:numId w:val="74"/>
        </w:numPr>
        <w:snapToGrid w:val="0"/>
        <w:spacing w:line="360" w:lineRule="auto"/>
        <w:ind w:left="0" w:leftChars="0" w:right="290" w:firstLine="567"/>
        <w:rPr>
          <w:rFonts w:hint="eastAsia"/>
          <w:color w:val="auto"/>
          <w:highlight w:val="none"/>
          <w:u w:val="single"/>
        </w:rPr>
      </w:pPr>
      <w:r>
        <w:rPr>
          <w:rFonts w:hint="eastAsia"/>
          <w:color w:val="auto"/>
          <w:highlight w:val="none"/>
          <w:u w:val="single"/>
        </w:rPr>
        <w:t>对于有监理单位监督的施工合同，发现上述习惯性违章行为对施工单位进行处罚的，如果监理单位没有履职到位的，甲方有权按照相同的处罚标准对监理单位进行考核。</w:t>
      </w:r>
    </w:p>
    <w:p w14:paraId="2E32EC5F">
      <w:pPr>
        <w:pStyle w:val="11"/>
        <w:numPr>
          <w:ilvl w:val="0"/>
          <w:numId w:val="71"/>
        </w:numPr>
        <w:snapToGrid w:val="0"/>
        <w:spacing w:line="360" w:lineRule="auto"/>
        <w:ind w:left="0" w:leftChars="0" w:right="290" w:firstLine="567"/>
        <w:rPr>
          <w:highlight w:val="none"/>
        </w:rPr>
      </w:pPr>
      <w:r>
        <w:rPr>
          <w:rFonts w:hint="eastAsia"/>
          <w:highlight w:val="none"/>
        </w:rPr>
        <w:t>上述甲方</w:t>
      </w:r>
      <w:r>
        <w:rPr>
          <w:highlight w:val="none"/>
        </w:rPr>
        <w:t>对乙方的</w:t>
      </w:r>
      <w:r>
        <w:rPr>
          <w:rFonts w:hint="eastAsia"/>
          <w:highlight w:val="none"/>
        </w:rPr>
        <w:t>安健环违约金扣缴或</w:t>
      </w:r>
      <w:r>
        <w:rPr>
          <w:highlight w:val="none"/>
        </w:rPr>
        <w:t>经济处罚</w:t>
      </w:r>
      <w:r>
        <w:rPr>
          <w:rFonts w:hint="eastAsia"/>
          <w:highlight w:val="none"/>
        </w:rPr>
        <w:t>从</w:t>
      </w:r>
      <w:r>
        <w:rPr>
          <w:highlight w:val="none"/>
        </w:rPr>
        <w:t>甲方应付乙方</w:t>
      </w:r>
      <w:r>
        <w:rPr>
          <w:rFonts w:hint="eastAsia"/>
          <w:highlight w:val="none"/>
        </w:rPr>
        <w:t>合同费用、履约保证金或履约保函中直接给予扣除（此并不构成甲方违约）。尚不足部分的金额，由乙方于收到违约金或处罚</w:t>
      </w:r>
      <w:r>
        <w:rPr>
          <w:highlight w:val="none"/>
        </w:rPr>
        <w:t>单</w:t>
      </w:r>
      <w:r>
        <w:rPr>
          <w:rFonts w:hint="eastAsia"/>
          <w:highlight w:val="none"/>
        </w:rPr>
        <w:t>一个月内另行向甲方一次性付清，否则每日按逾期未付款金额千分之五的标准计算向甲方支付滞纳金，直至付清全部欠款（含本金和滞纳金）。</w:t>
      </w:r>
    </w:p>
    <w:p w14:paraId="59B98495">
      <w:pPr>
        <w:pStyle w:val="11"/>
        <w:numPr>
          <w:ilvl w:val="0"/>
          <w:numId w:val="71"/>
        </w:numPr>
        <w:snapToGrid w:val="0"/>
        <w:spacing w:line="360" w:lineRule="auto"/>
        <w:ind w:left="0" w:leftChars="0" w:right="290" w:firstLine="567"/>
        <w:rPr>
          <w:rFonts w:hint="eastAsia"/>
          <w:highlight w:val="none"/>
        </w:rPr>
      </w:pPr>
      <w:r>
        <w:rPr>
          <w:rFonts w:hint="eastAsia"/>
          <w:highlight w:val="none"/>
        </w:rPr>
        <w:t>如乙方是承包项目安健环监理承包方，因监理职责履行不到位造成安健环事故、事件或者发生安健环违约金扣缴或处罚的，甲方除对被监理方实施违约处罚外，可对监理单位处以</w:t>
      </w:r>
      <w:r>
        <w:rPr>
          <w:highlight w:val="none"/>
        </w:rPr>
        <w:t>被监理方</w:t>
      </w:r>
      <w:r>
        <w:rPr>
          <w:rFonts w:hint="eastAsia"/>
          <w:highlight w:val="none"/>
        </w:rPr>
        <w:t>同等违约处罚。</w:t>
      </w:r>
    </w:p>
    <w:p w14:paraId="2385A9F4">
      <w:pPr>
        <w:pStyle w:val="11"/>
        <w:numPr>
          <w:ilvl w:val="0"/>
          <w:numId w:val="71"/>
        </w:numPr>
        <w:tabs>
          <w:tab w:val="left" w:pos="993"/>
        </w:tabs>
        <w:snapToGrid w:val="0"/>
        <w:spacing w:line="360" w:lineRule="auto"/>
        <w:ind w:left="0" w:leftChars="0" w:right="290" w:firstLine="567"/>
        <w:rPr>
          <w:rFonts w:hint="eastAsia"/>
          <w:highlight w:val="none"/>
        </w:rPr>
      </w:pPr>
      <w:r>
        <w:rPr>
          <w:rFonts w:hint="eastAsia"/>
          <w:highlight w:val="none"/>
        </w:rPr>
        <w:t>在任何情况下，不因为甲方对乙方</w:t>
      </w:r>
      <w:r>
        <w:rPr>
          <w:highlight w:val="none"/>
        </w:rPr>
        <w:t>发生安健环事故事件或</w:t>
      </w:r>
      <w:r>
        <w:rPr>
          <w:rFonts w:hint="eastAsia"/>
          <w:highlight w:val="none"/>
        </w:rPr>
        <w:t>其</w:t>
      </w:r>
      <w:r>
        <w:rPr>
          <w:highlight w:val="none"/>
        </w:rPr>
        <w:t>安健环违规</w:t>
      </w:r>
      <w:r>
        <w:rPr>
          <w:rFonts w:hint="eastAsia"/>
          <w:highlight w:val="none"/>
        </w:rPr>
        <w:t>、</w:t>
      </w:r>
      <w:r>
        <w:rPr>
          <w:highlight w:val="none"/>
        </w:rPr>
        <w:t>违法</w:t>
      </w:r>
      <w:r>
        <w:rPr>
          <w:rFonts w:hint="eastAsia"/>
          <w:highlight w:val="none"/>
        </w:rPr>
        <w:t>、</w:t>
      </w:r>
      <w:r>
        <w:rPr>
          <w:highlight w:val="none"/>
        </w:rPr>
        <w:t>违章等行为</w:t>
      </w:r>
      <w:r>
        <w:rPr>
          <w:rFonts w:hint="eastAsia"/>
          <w:highlight w:val="none"/>
        </w:rPr>
        <w:t>进行违约金扣缴或</w:t>
      </w:r>
      <w:r>
        <w:rPr>
          <w:highlight w:val="none"/>
        </w:rPr>
        <w:t>经济处罚</w:t>
      </w:r>
      <w:r>
        <w:rPr>
          <w:rFonts w:hint="eastAsia"/>
          <w:highlight w:val="none"/>
        </w:rPr>
        <w:t>而免除乙方应负的安健环责任、</w:t>
      </w:r>
      <w:r>
        <w:rPr>
          <w:highlight w:val="none"/>
        </w:rPr>
        <w:t>法律责任</w:t>
      </w:r>
      <w:r>
        <w:rPr>
          <w:rFonts w:hint="eastAsia"/>
          <w:highlight w:val="none"/>
        </w:rPr>
        <w:t>、</w:t>
      </w:r>
      <w:r>
        <w:rPr>
          <w:highlight w:val="none"/>
        </w:rPr>
        <w:t>赔偿补偿责任</w:t>
      </w:r>
      <w:r>
        <w:rPr>
          <w:rFonts w:hint="eastAsia"/>
          <w:highlight w:val="none"/>
        </w:rPr>
        <w:t>、</w:t>
      </w:r>
      <w:r>
        <w:rPr>
          <w:highlight w:val="none"/>
        </w:rPr>
        <w:t>善后处理</w:t>
      </w:r>
      <w:r>
        <w:rPr>
          <w:rFonts w:hint="eastAsia"/>
          <w:highlight w:val="none"/>
        </w:rPr>
        <w:t>责任及</w:t>
      </w:r>
      <w:r>
        <w:rPr>
          <w:highlight w:val="none"/>
        </w:rPr>
        <w:t>其他义务</w:t>
      </w:r>
      <w:r>
        <w:rPr>
          <w:rFonts w:hint="eastAsia"/>
          <w:highlight w:val="none"/>
        </w:rPr>
        <w:t>。</w:t>
      </w:r>
    </w:p>
    <w:p w14:paraId="6AB2403C">
      <w:pPr>
        <w:pStyle w:val="11"/>
        <w:numPr>
          <w:ilvl w:val="0"/>
          <w:numId w:val="71"/>
        </w:numPr>
        <w:tabs>
          <w:tab w:val="left" w:pos="993"/>
        </w:tabs>
        <w:snapToGrid w:val="0"/>
        <w:spacing w:line="360" w:lineRule="auto"/>
        <w:ind w:left="0" w:leftChars="0" w:right="290" w:firstLine="567"/>
        <w:rPr>
          <w:rFonts w:hint="eastAsia"/>
          <w:highlight w:val="none"/>
        </w:rPr>
      </w:pPr>
      <w:r>
        <w:rPr>
          <w:rFonts w:hint="eastAsia"/>
          <w:highlight w:val="none"/>
        </w:rPr>
        <w:t>对于乙方其自身本应独立主动地负责依法依规进行处理的任何纠纷或者</w:t>
      </w:r>
      <w:r>
        <w:rPr>
          <w:highlight w:val="none"/>
        </w:rPr>
        <w:t>事故</w:t>
      </w:r>
      <w:r>
        <w:rPr>
          <w:rFonts w:hint="eastAsia"/>
          <w:highlight w:val="none"/>
        </w:rPr>
        <w:t>事件，当因乙方拖延慢作为或回避不作为而</w:t>
      </w:r>
      <w:r>
        <w:rPr>
          <w:highlight w:val="none"/>
        </w:rPr>
        <w:t>扩散</w:t>
      </w:r>
      <w:r>
        <w:rPr>
          <w:rFonts w:hint="eastAsia"/>
          <w:highlight w:val="none"/>
        </w:rPr>
        <w:t>漫延影响到或者损害到甲方的声誉形象等任何权益之时，甲方基于保护本身的权益免受伤害，有权选择主动参与到乙方该纠纷或者事件的合情合理调解和依法依规处理。但甲方对乙方该纠纷或者事故</w:t>
      </w:r>
      <w:r>
        <w:rPr>
          <w:highlight w:val="none"/>
        </w:rPr>
        <w:t>、</w:t>
      </w:r>
      <w:r>
        <w:rPr>
          <w:rFonts w:hint="eastAsia"/>
          <w:highlight w:val="none"/>
        </w:rPr>
        <w:t>事件任何形式的参与和处理，并不导致乙方其自身本应独立承担的任何责任和义务等发生转移、变更、减少、减轻、终止等任何形式的改变，即乙方自身本应独立承担的任何责任和义务仍然由其全部承担。</w:t>
      </w:r>
    </w:p>
    <w:p w14:paraId="1BB54EA5">
      <w:pPr>
        <w:pStyle w:val="11"/>
        <w:numPr>
          <w:ilvl w:val="0"/>
          <w:numId w:val="71"/>
        </w:numPr>
        <w:tabs>
          <w:tab w:val="left" w:pos="993"/>
        </w:tabs>
        <w:snapToGrid w:val="0"/>
        <w:spacing w:line="360" w:lineRule="auto"/>
        <w:ind w:left="0" w:leftChars="0" w:right="290" w:firstLine="567"/>
        <w:rPr>
          <w:rFonts w:hint="eastAsia"/>
          <w:highlight w:val="none"/>
        </w:rPr>
      </w:pPr>
      <w:r>
        <w:rPr>
          <w:rFonts w:hint="eastAsia"/>
          <w:highlight w:val="none"/>
        </w:rPr>
        <w:t>上述责任和违约处罚，不包括因安健环问题而来自政府的问责、罚款和其它索赔等。来自政府的问责、罚款和其它索赔等，因乙方原因造成的，全部由乙方承担。</w:t>
      </w:r>
    </w:p>
    <w:p w14:paraId="772D4922">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协议的货币种类</w:t>
      </w:r>
    </w:p>
    <w:p w14:paraId="320A4BAE">
      <w:pPr>
        <w:pStyle w:val="11"/>
        <w:snapToGrid w:val="0"/>
        <w:spacing w:line="360" w:lineRule="auto"/>
        <w:ind w:left="0" w:leftChars="0" w:right="290" w:firstLine="566" w:firstLineChars="236"/>
        <w:rPr>
          <w:rFonts w:hint="eastAsia"/>
          <w:highlight w:val="none"/>
        </w:rPr>
      </w:pPr>
      <w:r>
        <w:rPr>
          <w:rFonts w:hint="eastAsia"/>
          <w:highlight w:val="none"/>
        </w:rPr>
        <w:t>本协议中所涉及的费用、处罚、</w:t>
      </w:r>
      <w:r>
        <w:rPr>
          <w:highlight w:val="none"/>
        </w:rPr>
        <w:t>罚款</w:t>
      </w:r>
      <w:r>
        <w:rPr>
          <w:rFonts w:hint="eastAsia"/>
          <w:highlight w:val="none"/>
        </w:rPr>
        <w:t>、违约金、赔偿、补偿等的计量货币币种均为人民币。</w:t>
      </w:r>
    </w:p>
    <w:p w14:paraId="43E03495">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组成协议的文件及解释顺序</w:t>
      </w:r>
    </w:p>
    <w:p w14:paraId="260DDFC1">
      <w:pPr>
        <w:pStyle w:val="11"/>
        <w:snapToGrid w:val="0"/>
        <w:spacing w:line="360" w:lineRule="auto"/>
        <w:ind w:left="0" w:leftChars="0" w:right="290" w:firstLine="566" w:firstLineChars="236"/>
        <w:rPr>
          <w:rFonts w:hint="eastAsia"/>
          <w:highlight w:val="none"/>
        </w:rPr>
      </w:pPr>
      <w:r>
        <w:rPr>
          <w:rFonts w:hint="eastAsia"/>
          <w:highlight w:val="none"/>
        </w:rPr>
        <w:t>组成本协议的各个文件应该是一整体，彼此相互解释，互为说明。本协议的文件及优先解释顺序如下：</w:t>
      </w:r>
    </w:p>
    <w:p w14:paraId="626E1314">
      <w:pPr>
        <w:pStyle w:val="11"/>
        <w:numPr>
          <w:ilvl w:val="0"/>
          <w:numId w:val="75"/>
        </w:numPr>
        <w:snapToGrid w:val="0"/>
        <w:spacing w:line="360" w:lineRule="auto"/>
        <w:ind w:left="0" w:leftChars="0" w:right="290" w:firstLine="567"/>
        <w:rPr>
          <w:rFonts w:hint="eastAsia"/>
          <w:highlight w:val="none"/>
        </w:rPr>
      </w:pPr>
      <w:r>
        <w:rPr>
          <w:rFonts w:hint="eastAsia"/>
          <w:highlight w:val="none"/>
        </w:rPr>
        <w:t>本《安健环协议》条款和附件，以及有关</w:t>
      </w:r>
      <w:r>
        <w:rPr>
          <w:highlight w:val="none"/>
        </w:rPr>
        <w:t>法律、法规</w:t>
      </w:r>
      <w:r>
        <w:rPr>
          <w:rFonts w:hint="eastAsia"/>
          <w:highlight w:val="none"/>
        </w:rPr>
        <w:t>和规范性文件要求；</w:t>
      </w:r>
    </w:p>
    <w:p w14:paraId="53DFB33B">
      <w:pPr>
        <w:pStyle w:val="11"/>
        <w:numPr>
          <w:ilvl w:val="0"/>
          <w:numId w:val="75"/>
        </w:numPr>
        <w:snapToGrid w:val="0"/>
        <w:spacing w:line="360" w:lineRule="auto"/>
        <w:ind w:left="0" w:leftChars="0" w:right="290" w:firstLine="567"/>
        <w:rPr>
          <w:rFonts w:hint="eastAsia"/>
          <w:highlight w:val="none"/>
        </w:rPr>
      </w:pPr>
      <w:r>
        <w:rPr>
          <w:rFonts w:hint="eastAsia"/>
          <w:highlight w:val="none"/>
        </w:rPr>
        <w:t xml:space="preserve">甲乙双方另行每次签订生效的项目合同条款及附件； </w:t>
      </w:r>
    </w:p>
    <w:p w14:paraId="1ED711BF">
      <w:pPr>
        <w:pStyle w:val="11"/>
        <w:numPr>
          <w:ilvl w:val="0"/>
          <w:numId w:val="75"/>
        </w:numPr>
        <w:snapToGrid w:val="0"/>
        <w:spacing w:line="360" w:lineRule="auto"/>
        <w:ind w:left="0" w:leftChars="0" w:right="290" w:firstLine="567"/>
        <w:rPr>
          <w:rFonts w:hint="eastAsia"/>
          <w:highlight w:val="none"/>
        </w:rPr>
      </w:pPr>
      <w:r>
        <w:rPr>
          <w:rFonts w:hint="eastAsia"/>
          <w:highlight w:val="none"/>
        </w:rPr>
        <w:t>甲方及其各属下分公司、分支机构、各中心或各部门等制定实施的规章制度、操作规范，以及现场公示的标语、提示、警告、宣传、通知等任何形式的管理要求；</w:t>
      </w:r>
    </w:p>
    <w:p w14:paraId="6877D7AB">
      <w:pPr>
        <w:pStyle w:val="11"/>
        <w:numPr>
          <w:ilvl w:val="0"/>
          <w:numId w:val="75"/>
        </w:numPr>
        <w:snapToGrid w:val="0"/>
        <w:spacing w:line="360" w:lineRule="auto"/>
        <w:ind w:left="0" w:leftChars="0" w:right="290" w:firstLine="567"/>
        <w:rPr>
          <w:rFonts w:hint="eastAsia"/>
          <w:highlight w:val="none"/>
        </w:rPr>
      </w:pPr>
      <w:r>
        <w:rPr>
          <w:rFonts w:hint="eastAsia"/>
          <w:highlight w:val="none"/>
        </w:rPr>
        <w:t>乙方及其各属下分公司、分支机构、各中心或各部门等制定实施的规章制度、操作规范，以及现场公示的标语、提示、警告、宣传、通知等任何形式的管理要求；</w:t>
      </w:r>
    </w:p>
    <w:p w14:paraId="42C28C9F">
      <w:pPr>
        <w:pStyle w:val="11"/>
        <w:numPr>
          <w:ilvl w:val="0"/>
          <w:numId w:val="75"/>
        </w:numPr>
        <w:snapToGrid w:val="0"/>
        <w:spacing w:line="360" w:lineRule="auto"/>
        <w:ind w:left="0" w:leftChars="0" w:right="290" w:firstLine="567"/>
        <w:rPr>
          <w:rFonts w:hint="eastAsia"/>
          <w:highlight w:val="none"/>
        </w:rPr>
      </w:pPr>
      <w:r>
        <w:rPr>
          <w:rFonts w:hint="eastAsia"/>
          <w:highlight w:val="none"/>
        </w:rPr>
        <w:t>双方就安健环事项进行培训、考核、整改等过程监管当中所书面下发的文件要求。</w:t>
      </w:r>
    </w:p>
    <w:p w14:paraId="3C792933">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协议争议与仲裁</w:t>
      </w:r>
    </w:p>
    <w:p w14:paraId="14B8FAB3">
      <w:pPr>
        <w:pStyle w:val="11"/>
        <w:numPr>
          <w:ilvl w:val="0"/>
          <w:numId w:val="76"/>
        </w:numPr>
        <w:snapToGrid w:val="0"/>
        <w:spacing w:line="360" w:lineRule="auto"/>
        <w:ind w:left="0" w:leftChars="0" w:right="290" w:firstLine="566" w:firstLineChars="236"/>
        <w:rPr>
          <w:rFonts w:hint="eastAsia"/>
          <w:color w:val="auto"/>
          <w:highlight w:val="none"/>
          <w:u w:val="single"/>
        </w:rPr>
      </w:pPr>
      <w:r>
        <w:rPr>
          <w:rFonts w:hint="eastAsia"/>
          <w:highlight w:val="none"/>
        </w:rPr>
        <w:t>本协议执行过程中，如发生争议，由双方协商解决；若经协商不能解决争议的，可以由项目所在地</w:t>
      </w:r>
      <w:r>
        <w:rPr>
          <w:highlight w:val="none"/>
        </w:rPr>
        <w:t>行业主管部门</w:t>
      </w:r>
      <w:r>
        <w:rPr>
          <w:rFonts w:hint="eastAsia"/>
          <w:highlight w:val="none"/>
        </w:rPr>
        <w:t>通过</w:t>
      </w:r>
      <w:r>
        <w:rPr>
          <w:highlight w:val="none"/>
        </w:rPr>
        <w:t>调解</w:t>
      </w:r>
      <w:r>
        <w:rPr>
          <w:rFonts w:hint="eastAsia"/>
          <w:highlight w:val="none"/>
        </w:rPr>
        <w:t>的方式</w:t>
      </w:r>
      <w:r>
        <w:rPr>
          <w:highlight w:val="none"/>
        </w:rPr>
        <w:t>解决。</w:t>
      </w:r>
      <w:r>
        <w:rPr>
          <w:rFonts w:hint="eastAsia"/>
          <w:highlight w:val="none"/>
        </w:rPr>
        <w:t>调解</w:t>
      </w:r>
      <w:r>
        <w:rPr>
          <w:highlight w:val="none"/>
        </w:rPr>
        <w:t>不成的，</w:t>
      </w:r>
      <w:r>
        <w:rPr>
          <w:rFonts w:hint="eastAsia"/>
          <w:highlight w:val="none"/>
        </w:rPr>
        <w:t>双方</w:t>
      </w:r>
      <w:r>
        <w:rPr>
          <w:rFonts w:hint="eastAsia"/>
          <w:color w:val="auto"/>
          <w:highlight w:val="none"/>
          <w:u w:val="single"/>
        </w:rPr>
        <w:t>可以在项目所在地的选择仲裁机构申请通过仲裁的方式来最终解决。</w:t>
      </w:r>
    </w:p>
    <w:p w14:paraId="59F75046">
      <w:pPr>
        <w:pStyle w:val="11"/>
        <w:numPr>
          <w:ilvl w:val="0"/>
          <w:numId w:val="76"/>
        </w:numPr>
        <w:snapToGrid w:val="0"/>
        <w:spacing w:line="360" w:lineRule="auto"/>
        <w:ind w:left="0" w:leftChars="0" w:right="290" w:firstLine="566" w:firstLineChars="236"/>
        <w:rPr>
          <w:rFonts w:hint="eastAsia"/>
          <w:color w:val="auto"/>
          <w:highlight w:val="none"/>
          <w:u w:val="single"/>
        </w:rPr>
      </w:pPr>
      <w:r>
        <w:rPr>
          <w:rFonts w:hint="eastAsia"/>
          <w:color w:val="auto"/>
          <w:highlight w:val="none"/>
          <w:u w:val="single"/>
        </w:rPr>
        <w:t>除非生效判决或裁决另行确定，各方为仲裁而实际支付的费用（包括但不限于仲裁费和合理的律师费、保全费用、执行费用）由败诉方承担</w:t>
      </w:r>
      <w:r>
        <w:rPr>
          <w:rFonts w:hint="eastAsia"/>
          <w:color w:val="auto"/>
          <w:highlight w:val="none"/>
          <w:u w:val="single"/>
          <w:lang w:eastAsia="zh-CN"/>
        </w:rPr>
        <w:t>。</w:t>
      </w:r>
    </w:p>
    <w:p w14:paraId="5156B000">
      <w:pPr>
        <w:pStyle w:val="11"/>
        <w:numPr>
          <w:ilvl w:val="0"/>
          <w:numId w:val="76"/>
        </w:numPr>
        <w:snapToGrid w:val="0"/>
        <w:spacing w:line="360" w:lineRule="auto"/>
        <w:ind w:left="0" w:leftChars="0" w:right="290" w:firstLine="566" w:firstLineChars="236"/>
        <w:rPr>
          <w:rFonts w:hint="eastAsia"/>
          <w:color w:val="auto"/>
          <w:highlight w:val="none"/>
          <w:u w:val="single"/>
        </w:rPr>
      </w:pPr>
      <w:r>
        <w:rPr>
          <w:rFonts w:hint="eastAsia"/>
          <w:color w:val="auto"/>
          <w:highlight w:val="none"/>
          <w:u w:val="single"/>
        </w:rPr>
        <w:t>因本项目乙方原因引起或乙方派出现场人员或乙方作为责任主体而导致的纠纷诉讼或仲裁案件，均由乙方负责承担。争议案件发生后，乙方应指定专人负责并聘请律师全过程妥善解决，若因此造成甲方或相关第三方的费用或损失，均由乙方承担或支付赔偿</w:t>
      </w:r>
      <w:r>
        <w:rPr>
          <w:rFonts w:hint="eastAsia"/>
          <w:color w:val="auto"/>
          <w:highlight w:val="none"/>
          <w:u w:val="single"/>
          <w:lang w:eastAsia="zh-CN"/>
        </w:rPr>
        <w:t>。</w:t>
      </w:r>
    </w:p>
    <w:p w14:paraId="5F50C6C6">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协议生效及有效期限</w:t>
      </w:r>
    </w:p>
    <w:p w14:paraId="6C70505A">
      <w:pPr>
        <w:pStyle w:val="11"/>
        <w:numPr>
          <w:ilvl w:val="0"/>
          <w:numId w:val="77"/>
        </w:numPr>
        <w:snapToGrid w:val="0"/>
        <w:spacing w:line="360" w:lineRule="auto"/>
        <w:ind w:left="0" w:leftChars="0" w:right="290" w:firstLine="567"/>
        <w:rPr>
          <w:rFonts w:hint="eastAsia"/>
          <w:highlight w:val="none"/>
        </w:rPr>
      </w:pPr>
      <w:r>
        <w:rPr>
          <w:rFonts w:hint="eastAsia"/>
          <w:highlight w:val="none"/>
        </w:rPr>
        <w:t>本协议经双方法定代表人或授权代表人签字盖章后生效。</w:t>
      </w:r>
    </w:p>
    <w:p w14:paraId="0D11574A">
      <w:pPr>
        <w:pStyle w:val="11"/>
        <w:numPr>
          <w:ilvl w:val="0"/>
          <w:numId w:val="77"/>
        </w:numPr>
        <w:snapToGrid w:val="0"/>
        <w:spacing w:line="360" w:lineRule="auto"/>
        <w:ind w:left="0" w:leftChars="0" w:right="290" w:firstLine="567"/>
        <w:rPr>
          <w:rFonts w:hint="eastAsia"/>
          <w:highlight w:val="none"/>
        </w:rPr>
      </w:pPr>
      <w:r>
        <w:rPr>
          <w:rFonts w:hint="eastAsia"/>
          <w:highlight w:val="none"/>
        </w:rPr>
        <w:t>甲乙双方签订本协议有授权代表人的，应将其法定代表人证明书、授权代表人的授权委托书等作为本协议的附件。</w:t>
      </w:r>
    </w:p>
    <w:p w14:paraId="4292102F">
      <w:pPr>
        <w:pStyle w:val="11"/>
        <w:numPr>
          <w:ilvl w:val="0"/>
          <w:numId w:val="62"/>
        </w:numPr>
        <w:tabs>
          <w:tab w:val="left" w:pos="1134"/>
        </w:tabs>
        <w:snapToGrid w:val="0"/>
        <w:spacing w:line="360" w:lineRule="auto"/>
        <w:ind w:left="0" w:leftChars="0" w:right="290" w:firstLine="567"/>
        <w:rPr>
          <w:rFonts w:hint="eastAsia" w:ascii="黑体" w:hAnsi="黑体" w:eastAsia="黑体"/>
          <w:sz w:val="32"/>
          <w:szCs w:val="32"/>
          <w:highlight w:val="none"/>
        </w:rPr>
      </w:pPr>
      <w:r>
        <w:rPr>
          <w:rFonts w:hint="eastAsia" w:ascii="黑体" w:hAnsi="黑体" w:eastAsia="黑体"/>
          <w:sz w:val="32"/>
          <w:szCs w:val="32"/>
          <w:highlight w:val="none"/>
        </w:rPr>
        <w:t>协议的份数及移交执行</w:t>
      </w:r>
    </w:p>
    <w:p w14:paraId="6B4227DA">
      <w:pPr>
        <w:pStyle w:val="11"/>
        <w:numPr>
          <w:ilvl w:val="0"/>
          <w:numId w:val="78"/>
        </w:numPr>
        <w:snapToGrid w:val="0"/>
        <w:spacing w:line="360" w:lineRule="auto"/>
        <w:ind w:left="0" w:leftChars="0" w:right="290" w:firstLine="567"/>
        <w:rPr>
          <w:rFonts w:hint="eastAsia"/>
          <w:highlight w:val="none"/>
        </w:rPr>
      </w:pPr>
      <w:r>
        <w:rPr>
          <w:rFonts w:hint="eastAsia"/>
          <w:highlight w:val="none"/>
        </w:rPr>
        <w:t>本协议一式</w:t>
      </w:r>
      <w:r>
        <w:rPr>
          <w:rFonts w:hint="eastAsia"/>
          <w:highlight w:val="none"/>
          <w:lang w:val="en-US" w:eastAsia="zh-CN"/>
        </w:rPr>
        <w:t>六</w:t>
      </w:r>
      <w:r>
        <w:rPr>
          <w:rFonts w:hint="eastAsia"/>
          <w:highlight w:val="none"/>
        </w:rPr>
        <w:t>份，甲方执三份，乙方执</w:t>
      </w:r>
      <w:r>
        <w:rPr>
          <w:rFonts w:hint="eastAsia"/>
          <w:highlight w:val="none"/>
          <w:lang w:val="en-US" w:eastAsia="zh-CN"/>
        </w:rPr>
        <w:t>三</w:t>
      </w:r>
      <w:r>
        <w:rPr>
          <w:rFonts w:hint="eastAsia"/>
          <w:highlight w:val="none"/>
        </w:rPr>
        <w:t>份，均具有同等法律效力。</w:t>
      </w:r>
    </w:p>
    <w:p w14:paraId="5219CEF2">
      <w:pPr>
        <w:pStyle w:val="11"/>
        <w:numPr>
          <w:ilvl w:val="0"/>
          <w:numId w:val="78"/>
        </w:numPr>
        <w:snapToGrid w:val="0"/>
        <w:spacing w:line="360" w:lineRule="auto"/>
        <w:ind w:left="0" w:leftChars="0" w:right="290" w:firstLine="567"/>
        <w:rPr>
          <w:rFonts w:hint="eastAsia"/>
          <w:highlight w:val="none"/>
        </w:rPr>
      </w:pPr>
      <w:r>
        <w:rPr>
          <w:rFonts w:hint="eastAsia"/>
          <w:highlight w:val="none"/>
        </w:rPr>
        <w:t xml:space="preserve">甲方可通过制度颁布宣贯实行、办公系统合同审批流程会签备查、扫描件或复印件信息采集移交等多种有效可行之形式，将本协议版本传达至现场安健环管理者；乙方须自行通过本协议扫描件或复印件分发移交、自行组织培训教育宣传落实等多种有效可行之形式，将本协议传达至现场进场的所有人员，以便现场人员更好地遵照执行本协议。 </w:t>
      </w:r>
    </w:p>
    <w:p w14:paraId="0565ABD5">
      <w:pPr>
        <w:pStyle w:val="11"/>
        <w:snapToGrid w:val="0"/>
        <w:spacing w:line="360" w:lineRule="auto"/>
        <w:ind w:left="420" w:leftChars="200" w:right="290"/>
        <w:rPr>
          <w:rFonts w:hint="eastAsia"/>
          <w:b/>
          <w:highlight w:val="none"/>
        </w:rPr>
      </w:pPr>
      <w:r>
        <w:rPr>
          <w:rFonts w:hint="eastAsia"/>
          <w:b/>
          <w:highlight w:val="none"/>
        </w:rPr>
        <w:t>（以下无正文）</w:t>
      </w:r>
    </w:p>
    <w:p w14:paraId="24EF8108">
      <w:pPr>
        <w:pStyle w:val="11"/>
        <w:snapToGrid w:val="0"/>
        <w:spacing w:line="360" w:lineRule="auto"/>
        <w:ind w:left="420" w:leftChars="200" w:right="290"/>
        <w:rPr>
          <w:rFonts w:hint="eastAsia"/>
          <w:b/>
          <w:highlight w:val="none"/>
        </w:rPr>
      </w:pPr>
    </w:p>
    <w:p w14:paraId="62B42B38">
      <w:pPr>
        <w:pStyle w:val="11"/>
        <w:snapToGrid w:val="0"/>
        <w:spacing w:line="360" w:lineRule="auto"/>
        <w:ind w:left="420" w:leftChars="200" w:right="290"/>
        <w:rPr>
          <w:rFonts w:hint="eastAsia"/>
          <w:b/>
          <w:highlight w:val="none"/>
        </w:rPr>
      </w:pPr>
    </w:p>
    <w:p w14:paraId="3E0C9BEC">
      <w:pPr>
        <w:pStyle w:val="11"/>
        <w:snapToGrid w:val="0"/>
        <w:spacing w:line="360" w:lineRule="auto"/>
        <w:ind w:left="420" w:leftChars="200" w:right="290"/>
        <w:rPr>
          <w:rFonts w:hint="eastAsia"/>
          <w:b/>
          <w:highlight w:val="none"/>
        </w:rPr>
      </w:pPr>
    </w:p>
    <w:p w14:paraId="3A0AA45C">
      <w:pPr>
        <w:pStyle w:val="11"/>
        <w:snapToGrid w:val="0"/>
        <w:spacing w:line="240" w:lineRule="auto"/>
        <w:ind w:left="0" w:leftChars="0" w:right="0" w:rightChars="0" w:firstLine="0" w:firstLineChars="0"/>
        <w:rPr>
          <w:rFonts w:hint="eastAsia"/>
          <w:b/>
          <w:highlight w:val="none"/>
          <w:u w:val="single"/>
        </w:rPr>
      </w:pPr>
      <w:r>
        <w:rPr>
          <w:rFonts w:hint="eastAsia"/>
          <w:b/>
          <w:highlight w:val="none"/>
        </w:rPr>
        <w:t>甲方：</w:t>
      </w:r>
      <w:r>
        <w:rPr>
          <w:highlight w:val="none"/>
          <w:u w:val="none"/>
        </w:rPr>
        <w:t xml:space="preserve"> </w:t>
      </w:r>
      <w:r>
        <w:rPr>
          <w:rFonts w:hint="eastAsia"/>
          <w:highlight w:val="none"/>
          <w:u w:val="none"/>
          <w:lang w:val="en-US" w:eastAsia="zh-CN"/>
        </w:rPr>
        <w:t>阳朔县深能环保有限公司</w:t>
      </w:r>
      <w:r>
        <w:rPr>
          <w:highlight w:val="none"/>
          <w:u w:val="none"/>
        </w:rPr>
        <w:t xml:space="preserve">  </w:t>
      </w:r>
      <w:r>
        <w:rPr>
          <w:rFonts w:hint="eastAsia"/>
          <w:highlight w:val="none"/>
          <w:u w:val="none"/>
          <w:lang w:val="en-US" w:eastAsia="zh-CN"/>
        </w:rPr>
        <w:t xml:space="preserve">  </w:t>
      </w:r>
      <w:r>
        <w:rPr>
          <w:rFonts w:hint="eastAsia"/>
          <w:b/>
          <w:highlight w:val="none"/>
        </w:rPr>
        <w:t>乙方：</w:t>
      </w:r>
      <w:r>
        <w:rPr>
          <w:rFonts w:hint="eastAsia"/>
          <w:b w:val="0"/>
          <w:bCs/>
          <w:highlight w:val="none"/>
        </w:rPr>
        <w:t>安徽新力电业高技术有限责任公司</w:t>
      </w:r>
      <w:r>
        <w:rPr>
          <w:highlight w:val="none"/>
          <w:u w:val="single"/>
        </w:rPr>
        <w:t xml:space="preserve">                 </w:t>
      </w:r>
    </w:p>
    <w:p w14:paraId="3EC5CCFE">
      <w:pPr>
        <w:pStyle w:val="11"/>
        <w:snapToGrid w:val="0"/>
        <w:spacing w:line="360" w:lineRule="auto"/>
        <w:ind w:left="420" w:leftChars="200" w:right="290"/>
        <w:rPr>
          <w:rFonts w:hint="eastAsia"/>
          <w:highlight w:val="none"/>
        </w:rPr>
      </w:pPr>
      <w:r>
        <w:rPr>
          <w:rFonts w:hint="eastAsia"/>
          <w:highlight w:val="none"/>
        </w:rPr>
        <w:t>（</w:t>
      </w:r>
      <w:r>
        <w:rPr>
          <w:rFonts w:hint="eastAsia"/>
          <w:highlight w:val="none"/>
          <w:lang w:val="en-US" w:eastAsia="zh-CN"/>
        </w:rPr>
        <w:t>盖</w:t>
      </w:r>
      <w:r>
        <w:rPr>
          <w:rFonts w:hint="eastAsia"/>
          <w:highlight w:val="none"/>
        </w:rPr>
        <w:t xml:space="preserve">章） </w:t>
      </w:r>
      <w:r>
        <w:rPr>
          <w:highlight w:val="none"/>
        </w:rPr>
        <w:t xml:space="preserve">                                </w:t>
      </w:r>
      <w:r>
        <w:rPr>
          <w:rFonts w:hint="eastAsia"/>
          <w:highlight w:val="none"/>
        </w:rPr>
        <w:t>（</w:t>
      </w:r>
      <w:r>
        <w:rPr>
          <w:rFonts w:hint="eastAsia"/>
          <w:highlight w:val="none"/>
          <w:lang w:val="en-US" w:eastAsia="zh-CN"/>
        </w:rPr>
        <w:t>盖</w:t>
      </w:r>
      <w:r>
        <w:rPr>
          <w:rFonts w:hint="eastAsia"/>
          <w:highlight w:val="none"/>
        </w:rPr>
        <w:t>章）</w:t>
      </w:r>
    </w:p>
    <w:p w14:paraId="5205F771">
      <w:pPr>
        <w:pStyle w:val="11"/>
        <w:snapToGrid w:val="0"/>
        <w:spacing w:line="360" w:lineRule="auto"/>
        <w:ind w:left="0" w:leftChars="0" w:right="290" w:firstLine="0" w:firstLineChars="0"/>
        <w:rPr>
          <w:highlight w:val="none"/>
        </w:rPr>
      </w:pPr>
      <w:r>
        <w:rPr>
          <w:rFonts w:hint="eastAsia"/>
          <w:highlight w:val="none"/>
        </w:rPr>
        <w:t>法定代表人或</w:t>
      </w:r>
      <w:r>
        <w:rPr>
          <w:highlight w:val="none"/>
        </w:rPr>
        <w:t>授权委托</w:t>
      </w:r>
      <w:r>
        <w:rPr>
          <w:rFonts w:hint="eastAsia"/>
          <w:highlight w:val="none"/>
        </w:rPr>
        <w:t>代理</w:t>
      </w:r>
      <w:r>
        <w:rPr>
          <w:highlight w:val="none"/>
        </w:rPr>
        <w:t>人</w:t>
      </w:r>
      <w:r>
        <w:rPr>
          <w:rFonts w:hint="eastAsia"/>
          <w:highlight w:val="none"/>
        </w:rPr>
        <w:t xml:space="preserve">            </w:t>
      </w:r>
      <w:r>
        <w:rPr>
          <w:rFonts w:hint="eastAsia"/>
          <w:highlight w:val="none"/>
          <w:lang w:val="en-US" w:eastAsia="zh-CN"/>
        </w:rPr>
        <w:t xml:space="preserve">   </w:t>
      </w:r>
      <w:r>
        <w:rPr>
          <w:rFonts w:hint="eastAsia"/>
          <w:highlight w:val="none"/>
        </w:rPr>
        <w:t>法定代表人或</w:t>
      </w:r>
      <w:r>
        <w:rPr>
          <w:highlight w:val="none"/>
        </w:rPr>
        <w:t>授权委托</w:t>
      </w:r>
      <w:r>
        <w:rPr>
          <w:rFonts w:hint="eastAsia"/>
          <w:highlight w:val="none"/>
        </w:rPr>
        <w:t>代理</w:t>
      </w:r>
      <w:r>
        <w:rPr>
          <w:highlight w:val="none"/>
        </w:rPr>
        <w:t>人</w:t>
      </w:r>
    </w:p>
    <w:p w14:paraId="2CF0FD13">
      <w:pPr>
        <w:pStyle w:val="11"/>
        <w:snapToGrid w:val="0"/>
        <w:spacing w:line="360" w:lineRule="auto"/>
        <w:ind w:left="420" w:leftChars="200" w:right="290"/>
        <w:rPr>
          <w:highlight w:val="none"/>
        </w:rPr>
      </w:pPr>
    </w:p>
    <w:p w14:paraId="53CFE097">
      <w:pPr>
        <w:pStyle w:val="11"/>
        <w:snapToGrid w:val="0"/>
        <w:spacing w:line="360" w:lineRule="auto"/>
        <w:ind w:left="420" w:leftChars="200" w:right="290"/>
        <w:rPr>
          <w:rFonts w:hint="eastAsia"/>
          <w:highlight w:val="none"/>
        </w:rPr>
      </w:pPr>
    </w:p>
    <w:p w14:paraId="7742F05F">
      <w:pPr>
        <w:pStyle w:val="11"/>
        <w:snapToGrid w:val="0"/>
        <w:spacing w:line="360" w:lineRule="auto"/>
        <w:ind w:left="0" w:leftChars="0" w:right="290" w:firstLine="0" w:firstLineChars="0"/>
        <w:rPr>
          <w:rFonts w:hint="eastAsia"/>
          <w:highlight w:val="none"/>
        </w:rPr>
      </w:pPr>
      <w:r>
        <w:rPr>
          <w:rFonts w:hint="eastAsia"/>
          <w:highlight w:val="none"/>
        </w:rPr>
        <w:t>（签字）</w:t>
      </w:r>
      <w:r>
        <w:rPr>
          <w:highlight w:val="none"/>
          <w:u w:val="single"/>
        </w:rPr>
        <w:t xml:space="preserve">                  </w:t>
      </w:r>
      <w:r>
        <w:rPr>
          <w:rFonts w:hint="eastAsia"/>
          <w:highlight w:val="none"/>
        </w:rPr>
        <w:t xml:space="preserve">              （签字）</w:t>
      </w:r>
      <w:r>
        <w:rPr>
          <w:highlight w:val="none"/>
          <w:u w:val="single"/>
        </w:rPr>
        <w:t xml:space="preserve">                   </w:t>
      </w:r>
      <w:r>
        <w:rPr>
          <w:rFonts w:hint="eastAsia"/>
          <w:highlight w:val="none"/>
        </w:rPr>
        <w:t xml:space="preserve"> </w:t>
      </w:r>
    </w:p>
    <w:p w14:paraId="62330392">
      <w:pPr>
        <w:spacing w:line="380" w:lineRule="exact"/>
        <w:rPr>
          <w:rFonts w:ascii="宋体" w:hAnsi="宋体" w:cs="Tahoma"/>
          <w:highlight w:val="none"/>
        </w:rPr>
      </w:pPr>
    </w:p>
    <w:p w14:paraId="216AAB0C">
      <w:pPr>
        <w:spacing w:line="380" w:lineRule="exact"/>
        <w:rPr>
          <w:rFonts w:ascii="宋体" w:hAnsi="宋体" w:cs="Tahoma"/>
          <w:highlight w:val="none"/>
        </w:rPr>
      </w:pPr>
    </w:p>
    <w:p w14:paraId="276EE90B">
      <w:pPr>
        <w:spacing w:line="380" w:lineRule="exact"/>
        <w:jc w:val="center"/>
        <w:rPr>
          <w:rFonts w:hint="eastAsia" w:ascii="宋体" w:hAnsi="宋体"/>
          <w:highlight w:val="none"/>
        </w:rPr>
      </w:pPr>
      <w:r>
        <w:rPr>
          <w:rFonts w:hint="eastAsia" w:ascii="宋体" w:hAnsi="宋体" w:cs="Tahoma"/>
          <w:highlight w:val="none"/>
        </w:rPr>
        <w:t xml:space="preserve">本协议签订生效时间：   </w:t>
      </w:r>
      <w:r>
        <w:rPr>
          <w:rFonts w:hint="eastAsia" w:ascii="宋体" w:hAnsi="宋体" w:cs="Tahoma"/>
          <w:highlight w:val="none"/>
          <w:lang w:val="en-US" w:eastAsia="zh-CN"/>
        </w:rPr>
        <w:t xml:space="preserve">   </w:t>
      </w:r>
      <w:r>
        <w:rPr>
          <w:rFonts w:hint="eastAsia" w:ascii="宋体" w:hAnsi="宋体" w:cs="Tahoma"/>
          <w:highlight w:val="none"/>
        </w:rPr>
        <w:t xml:space="preserve">年 </w:t>
      </w:r>
      <w:r>
        <w:rPr>
          <w:rFonts w:hint="eastAsia" w:ascii="宋体" w:hAnsi="宋体" w:cs="Tahoma"/>
          <w:highlight w:val="none"/>
          <w:lang w:val="en-US" w:eastAsia="zh-CN"/>
        </w:rPr>
        <w:t xml:space="preserve">  </w:t>
      </w:r>
      <w:r>
        <w:rPr>
          <w:rFonts w:hint="eastAsia" w:ascii="宋体" w:hAnsi="宋体" w:cs="Tahoma"/>
          <w:highlight w:val="none"/>
        </w:rPr>
        <w:t xml:space="preserve"> 月  </w:t>
      </w:r>
      <w:r>
        <w:rPr>
          <w:rFonts w:hint="eastAsia" w:ascii="宋体" w:hAnsi="宋体" w:cs="Tahoma"/>
          <w:highlight w:val="none"/>
          <w:lang w:val="en-US" w:eastAsia="zh-CN"/>
        </w:rPr>
        <w:t xml:space="preserve">  </w:t>
      </w:r>
      <w:r>
        <w:rPr>
          <w:rFonts w:hint="eastAsia" w:ascii="宋体" w:hAnsi="宋体" w:cs="Tahoma"/>
          <w:highlight w:val="none"/>
        </w:rPr>
        <w:t>日</w:t>
      </w:r>
    </w:p>
    <w:p w14:paraId="30DBA2A9">
      <w:pPr>
        <w:pStyle w:val="11"/>
        <w:snapToGrid w:val="0"/>
        <w:spacing w:line="360" w:lineRule="auto"/>
        <w:ind w:left="420" w:leftChars="200" w:right="290"/>
        <w:rPr>
          <w:rFonts w:hint="eastAsia"/>
          <w:b/>
          <w:highlight w:val="none"/>
        </w:rPr>
      </w:pPr>
    </w:p>
    <w:p w14:paraId="7A5062B6">
      <w:pPr>
        <w:numPr>
          <w:ilvl w:val="-1"/>
          <w:numId w:val="0"/>
        </w:numPr>
        <w:tabs>
          <w:tab w:val="left" w:pos="900"/>
        </w:tabs>
        <w:adjustRightInd w:val="0"/>
        <w:snapToGrid w:val="0"/>
        <w:ind w:left="0" w:firstLine="0"/>
        <w:rPr>
          <w:rFonts w:ascii="宋体" w:hAnsi="宋体"/>
          <w:color w:val="000000"/>
          <w:sz w:val="24"/>
          <w:highlight w:val="none"/>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华文行楷">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52855">
    <w:pPr>
      <w:pStyle w:val="16"/>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54</w:t>
    </w:r>
    <w:r>
      <w:rPr>
        <w:kern w:val="0"/>
        <w:szCs w:val="21"/>
      </w:rPr>
      <w:fldChar w:fldCharType="end"/>
    </w:r>
    <w:r>
      <w:rPr>
        <w:rFonts w:hint="eastAsia"/>
        <w:kern w:val="0"/>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BB00">
    <w:pPr>
      <w:widowControl w:val="0"/>
      <w:tabs>
        <w:tab w:val="center" w:pos="4153"/>
        <w:tab w:val="right" w:pos="8306"/>
      </w:tabs>
      <w:snapToGrid w:val="0"/>
      <w:jc w:val="center"/>
      <w:rPr>
        <w:rFonts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0"/>
        <w:sz w:val="18"/>
        <w:szCs w:val="21"/>
        <w:lang w:val="en-US" w:eastAsia="zh-CN" w:bidi="ar-SA"/>
      </w:rPr>
      <w:t xml:space="preserve">第 </w:t>
    </w: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PAGE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4</w:t>
    </w:r>
    <w:r>
      <w:rPr>
        <w:rFonts w:ascii="Times New Roman" w:hAnsi="Times New Roman" w:eastAsia="宋体" w:cs="Times New Roman"/>
        <w:kern w:val="0"/>
        <w:sz w:val="18"/>
        <w:szCs w:val="21"/>
        <w:lang w:val="en-US" w:eastAsia="zh-CN" w:bidi="ar-SA"/>
      </w:rPr>
      <w:fldChar w:fldCharType="end"/>
    </w:r>
    <w:r>
      <w:rPr>
        <w:rFonts w:hint="eastAsia" w:ascii="Times New Roman" w:hAnsi="Times New Roman" w:eastAsia="宋体" w:cs="Times New Roman"/>
        <w:kern w:val="0"/>
        <w:sz w:val="18"/>
        <w:szCs w:val="21"/>
        <w:lang w:val="en-US" w:eastAsia="zh-CN" w:bidi="ar-SA"/>
      </w:rPr>
      <w:t xml:space="preserve"> 页 共 </w:t>
    </w:r>
    <w:r>
      <w:rPr>
        <w:rFonts w:ascii="Times New Roman" w:hAnsi="Times New Roman" w:eastAsia="宋体" w:cs="Times New Roman"/>
        <w:kern w:val="0"/>
        <w:sz w:val="18"/>
        <w:szCs w:val="21"/>
        <w:lang w:val="en-US" w:eastAsia="zh-CN" w:bidi="ar-SA"/>
      </w:rPr>
      <w:fldChar w:fldCharType="begin"/>
    </w:r>
    <w:r>
      <w:rPr>
        <w:rFonts w:ascii="Times New Roman" w:hAnsi="Times New Roman" w:eastAsia="宋体" w:cs="Times New Roman"/>
        <w:kern w:val="0"/>
        <w:sz w:val="18"/>
        <w:szCs w:val="21"/>
        <w:lang w:val="en-US" w:eastAsia="zh-CN" w:bidi="ar-SA"/>
      </w:rPr>
      <w:instrText xml:space="preserve"> NUMPAGES </w:instrText>
    </w:r>
    <w:r>
      <w:rPr>
        <w:rFonts w:ascii="Times New Roman" w:hAnsi="Times New Roman" w:eastAsia="宋体" w:cs="Times New Roman"/>
        <w:kern w:val="0"/>
        <w:sz w:val="18"/>
        <w:szCs w:val="21"/>
        <w:lang w:val="en-US" w:eastAsia="zh-CN" w:bidi="ar-SA"/>
      </w:rPr>
      <w:fldChar w:fldCharType="separate"/>
    </w:r>
    <w:r>
      <w:rPr>
        <w:rFonts w:ascii="Times New Roman" w:hAnsi="Times New Roman" w:eastAsia="宋体" w:cs="Times New Roman"/>
        <w:kern w:val="0"/>
        <w:sz w:val="18"/>
        <w:szCs w:val="21"/>
        <w:lang w:val="en-US" w:eastAsia="zh-CN" w:bidi="ar-SA"/>
      </w:rPr>
      <w:t>43</w:t>
    </w:r>
    <w:r>
      <w:rPr>
        <w:rFonts w:ascii="Times New Roman" w:hAnsi="Times New Roman" w:eastAsia="宋体" w:cs="Times New Roman"/>
        <w:kern w:val="0"/>
        <w:sz w:val="18"/>
        <w:szCs w:val="21"/>
        <w:lang w:val="en-US" w:eastAsia="zh-CN" w:bidi="ar-SA"/>
      </w:rPr>
      <w:fldChar w:fldCharType="end"/>
    </w:r>
    <w:r>
      <w:rPr>
        <w:rFonts w:hint="eastAsia" w:ascii="Times New Roman" w:hAnsi="Times New Roman" w:eastAsia="宋体" w:cs="Times New Roman"/>
        <w:kern w:val="0"/>
        <w:sz w:val="18"/>
        <w:szCs w:val="21"/>
        <w:lang w:val="en-US" w:eastAsia="zh-CN" w:bidi="ar-SA"/>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B3AF6">
    <w:pPr>
      <w:pStyle w:val="16"/>
      <w:ind w:right="360"/>
      <w:jc w:val="center"/>
    </w:pPr>
    <w:r>
      <w:rPr>
        <w:rStyle w:val="31"/>
        <w:rFonts w:hint="eastAsia"/>
      </w:rPr>
      <w:t>第</w:t>
    </w:r>
    <w:r>
      <w:fldChar w:fldCharType="begin"/>
    </w:r>
    <w:r>
      <w:rPr>
        <w:rStyle w:val="31"/>
      </w:rPr>
      <w:instrText xml:space="preserve"> PAGE </w:instrText>
    </w:r>
    <w:r>
      <w:fldChar w:fldCharType="separate"/>
    </w:r>
    <w:r>
      <w:rPr>
        <w:rStyle w:val="31"/>
      </w:rPr>
      <w:t>13</w:t>
    </w:r>
    <w:r>
      <w:fldChar w:fldCharType="end"/>
    </w:r>
    <w:r>
      <w:rPr>
        <w:rStyle w:val="31"/>
        <w:rFonts w:hint="eastAsia"/>
      </w:rPr>
      <w:t>页共</w:t>
    </w:r>
    <w:r>
      <w:fldChar w:fldCharType="begin"/>
    </w:r>
    <w:r>
      <w:rPr>
        <w:rStyle w:val="31"/>
      </w:rPr>
      <w:instrText xml:space="preserve"> NUMPAGES </w:instrText>
    </w:r>
    <w:r>
      <w:fldChar w:fldCharType="separate"/>
    </w:r>
    <w:r>
      <w:rPr>
        <w:rStyle w:val="31"/>
      </w:rPr>
      <w:t>54</w:t>
    </w:r>
    <w:r>
      <w:fldChar w:fldCharType="end"/>
    </w:r>
    <w:r>
      <w:rPr>
        <w:rStyle w:val="31"/>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89BF">
    <w:pPr>
      <w:pStyle w:val="17"/>
      <w:pBdr>
        <w:bottom w:val="none" w:color="auto" w:sz="0" w:space="0"/>
      </w:pBdr>
      <w:jc w:val="both"/>
      <w:rPr>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8C3CF">
    <w:pPr>
      <w:widowControl w:val="0"/>
      <w:pBdr>
        <w:bottom w:val="none" w:color="auto" w:sz="0" w:space="0"/>
      </w:pBdr>
      <w:tabs>
        <w:tab w:val="center" w:pos="4153"/>
        <w:tab w:val="right" w:pos="8306"/>
      </w:tabs>
      <w:snapToGrid w:val="0"/>
      <w:jc w:val="both"/>
      <w:rPr>
        <w:rFonts w:ascii="Times New Roman" w:hAnsi="Times New Roman" w:eastAsia="宋体" w:cs="Times New Roman"/>
        <w:kern w:val="2"/>
        <w:sz w:val="21"/>
        <w:szCs w:val="24"/>
        <w:lang w:val="en-US" w:eastAsia="zh-CN" w:bidi="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F277F9">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6BF17E"/>
    <w:multiLevelType w:val="singleLevel"/>
    <w:tmpl w:val="A76BF17E"/>
    <w:lvl w:ilvl="0" w:tentative="0">
      <w:start w:val="1"/>
      <w:numFmt w:val="decimal"/>
      <w:suff w:val="space"/>
      <w:lvlText w:val="%1)"/>
      <w:lvlJc w:val="left"/>
      <w:pPr>
        <w:tabs>
          <w:tab w:val="left" w:pos="0"/>
        </w:tabs>
        <w:ind w:left="454" w:hanging="454"/>
      </w:pPr>
      <w:rPr>
        <w:rFonts w:hint="default"/>
      </w:rPr>
    </w:lvl>
  </w:abstractNum>
  <w:abstractNum w:abstractNumId="1">
    <w:nsid w:val="00AE4560"/>
    <w:multiLevelType w:val="multilevel"/>
    <w:tmpl w:val="00AE4560"/>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1C500B5"/>
    <w:multiLevelType w:val="multilevel"/>
    <w:tmpl w:val="01C500B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02B806B5"/>
    <w:multiLevelType w:val="multilevel"/>
    <w:tmpl w:val="02B806B5"/>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3131C8E"/>
    <w:multiLevelType w:val="multilevel"/>
    <w:tmpl w:val="03131C8E"/>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34A50DE"/>
    <w:multiLevelType w:val="multilevel"/>
    <w:tmpl w:val="034A50DE"/>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3F340E2"/>
    <w:multiLevelType w:val="multilevel"/>
    <w:tmpl w:val="03F340E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059438FF"/>
    <w:multiLevelType w:val="multilevel"/>
    <w:tmpl w:val="059438FF"/>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5973345"/>
    <w:multiLevelType w:val="multilevel"/>
    <w:tmpl w:val="05973345"/>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9">
    <w:nsid w:val="06C84BA9"/>
    <w:multiLevelType w:val="multilevel"/>
    <w:tmpl w:val="06C84BA9"/>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0">
    <w:nsid w:val="06E35246"/>
    <w:multiLevelType w:val="multilevel"/>
    <w:tmpl w:val="06E35246"/>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1">
    <w:nsid w:val="09A4036D"/>
    <w:multiLevelType w:val="multilevel"/>
    <w:tmpl w:val="09A4036D"/>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0B207D19"/>
    <w:multiLevelType w:val="multilevel"/>
    <w:tmpl w:val="0B207D19"/>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3">
    <w:nsid w:val="0B416D8D"/>
    <w:multiLevelType w:val="multilevel"/>
    <w:tmpl w:val="0B416D8D"/>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4">
    <w:nsid w:val="0B9F013D"/>
    <w:multiLevelType w:val="multilevel"/>
    <w:tmpl w:val="0B9F013D"/>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C9D251D"/>
    <w:multiLevelType w:val="multilevel"/>
    <w:tmpl w:val="0C9D251D"/>
    <w:lvl w:ilvl="0" w:tentative="0">
      <w:start w:val="1"/>
      <w:numFmt w:val="decimal"/>
      <w:pStyle w:val="70"/>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6">
    <w:nsid w:val="10C86FF5"/>
    <w:multiLevelType w:val="multilevel"/>
    <w:tmpl w:val="10C86FF5"/>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7">
    <w:nsid w:val="1324775C"/>
    <w:multiLevelType w:val="multilevel"/>
    <w:tmpl w:val="1324775C"/>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8">
    <w:nsid w:val="15A17ED4"/>
    <w:multiLevelType w:val="multilevel"/>
    <w:tmpl w:val="15A17ED4"/>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decimal"/>
      <w:lvlText w:val="%2."/>
      <w:lvlJc w:val="left"/>
      <w:pPr>
        <w:tabs>
          <w:tab w:val="left" w:pos="780"/>
        </w:tabs>
        <w:ind w:left="780" w:hanging="36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9">
    <w:nsid w:val="17264AFC"/>
    <w:multiLevelType w:val="multilevel"/>
    <w:tmpl w:val="17264AFC"/>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0">
    <w:nsid w:val="176C2F34"/>
    <w:multiLevelType w:val="multilevel"/>
    <w:tmpl w:val="176C2F34"/>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1">
    <w:nsid w:val="1ACD6382"/>
    <w:multiLevelType w:val="multilevel"/>
    <w:tmpl w:val="1ACD6382"/>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2">
    <w:nsid w:val="1B5116F3"/>
    <w:multiLevelType w:val="multilevel"/>
    <w:tmpl w:val="1B5116F3"/>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3">
    <w:nsid w:val="1BF71111"/>
    <w:multiLevelType w:val="multilevel"/>
    <w:tmpl w:val="1BF71111"/>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4">
    <w:nsid w:val="1D696FB3"/>
    <w:multiLevelType w:val="multilevel"/>
    <w:tmpl w:val="1D696FB3"/>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5">
    <w:nsid w:val="21E506F2"/>
    <w:multiLevelType w:val="multilevel"/>
    <w:tmpl w:val="21E506F2"/>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6">
    <w:nsid w:val="250B4EAC"/>
    <w:multiLevelType w:val="multilevel"/>
    <w:tmpl w:val="250B4EAC"/>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7">
    <w:nsid w:val="25834256"/>
    <w:multiLevelType w:val="multilevel"/>
    <w:tmpl w:val="25834256"/>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8">
    <w:nsid w:val="271A5AFC"/>
    <w:multiLevelType w:val="multilevel"/>
    <w:tmpl w:val="271A5AF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9">
    <w:nsid w:val="282C6360"/>
    <w:multiLevelType w:val="multilevel"/>
    <w:tmpl w:val="282C6360"/>
    <w:lvl w:ilvl="0" w:tentative="0">
      <w:start w:val="1"/>
      <w:numFmt w:val="chineseCountingThousand"/>
      <w:lvlText w:val="%1、"/>
      <w:lvlJc w:val="left"/>
      <w:pPr>
        <w:ind w:left="842" w:hanging="360"/>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30">
    <w:nsid w:val="287D03EE"/>
    <w:multiLevelType w:val="multilevel"/>
    <w:tmpl w:val="287D03EE"/>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1">
    <w:nsid w:val="2C836791"/>
    <w:multiLevelType w:val="multilevel"/>
    <w:tmpl w:val="2C836791"/>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2">
    <w:nsid w:val="2F8C39A7"/>
    <w:multiLevelType w:val="multilevel"/>
    <w:tmpl w:val="2F8C39A7"/>
    <w:lvl w:ilvl="0" w:tentative="0">
      <w:start w:val="1"/>
      <w:numFmt w:val="decimal"/>
      <w:lvlText w:val="%1)"/>
      <w:lvlJc w:val="left"/>
      <w:pPr>
        <w:ind w:left="987" w:hanging="420"/>
      </w:pPr>
      <w:rPr>
        <w:rFonts w:hint="default"/>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33">
    <w:nsid w:val="321B0382"/>
    <w:multiLevelType w:val="multilevel"/>
    <w:tmpl w:val="321B0382"/>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4">
    <w:nsid w:val="33A9059D"/>
    <w:multiLevelType w:val="multilevel"/>
    <w:tmpl w:val="33A9059D"/>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5">
    <w:nsid w:val="357F02C4"/>
    <w:multiLevelType w:val="multilevel"/>
    <w:tmpl w:val="357F02C4"/>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6">
    <w:nsid w:val="38334A3D"/>
    <w:multiLevelType w:val="multilevel"/>
    <w:tmpl w:val="38334A3D"/>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7">
    <w:nsid w:val="38DA3A0D"/>
    <w:multiLevelType w:val="multilevel"/>
    <w:tmpl w:val="38DA3A0D"/>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8">
    <w:nsid w:val="39A23923"/>
    <w:multiLevelType w:val="multilevel"/>
    <w:tmpl w:val="39A23923"/>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9">
    <w:nsid w:val="3BC402ED"/>
    <w:multiLevelType w:val="multilevel"/>
    <w:tmpl w:val="3BC402ED"/>
    <w:lvl w:ilvl="0" w:tentative="0">
      <w:start w:val="1"/>
      <w:numFmt w:val="decimal"/>
      <w:lvlText w:val="%1."/>
      <w:lvlJc w:val="left"/>
      <w:pPr>
        <w:ind w:left="1271" w:hanging="420"/>
      </w:p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40">
    <w:nsid w:val="3D412422"/>
    <w:multiLevelType w:val="multilevel"/>
    <w:tmpl w:val="3D412422"/>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1">
    <w:nsid w:val="3D90052A"/>
    <w:multiLevelType w:val="multilevel"/>
    <w:tmpl w:val="3D90052A"/>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2">
    <w:nsid w:val="3E766E6E"/>
    <w:multiLevelType w:val="multilevel"/>
    <w:tmpl w:val="3E766E6E"/>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3">
    <w:nsid w:val="3F8B6965"/>
    <w:multiLevelType w:val="multilevel"/>
    <w:tmpl w:val="3F8B6965"/>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4">
    <w:nsid w:val="40720C67"/>
    <w:multiLevelType w:val="multilevel"/>
    <w:tmpl w:val="40720C67"/>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5">
    <w:nsid w:val="45EB1A73"/>
    <w:multiLevelType w:val="multilevel"/>
    <w:tmpl w:val="45EB1A73"/>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6">
    <w:nsid w:val="467C47BA"/>
    <w:multiLevelType w:val="multilevel"/>
    <w:tmpl w:val="467C47BA"/>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7">
    <w:nsid w:val="4A3049A4"/>
    <w:multiLevelType w:val="multilevel"/>
    <w:tmpl w:val="4A3049A4"/>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8">
    <w:nsid w:val="4BAE2080"/>
    <w:multiLevelType w:val="multilevel"/>
    <w:tmpl w:val="4BAE2080"/>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9">
    <w:nsid w:val="4D642A50"/>
    <w:multiLevelType w:val="multilevel"/>
    <w:tmpl w:val="4D642A50"/>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0">
    <w:nsid w:val="4DEE5AA2"/>
    <w:multiLevelType w:val="multilevel"/>
    <w:tmpl w:val="4DEE5AA2"/>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1">
    <w:nsid w:val="4E195EF8"/>
    <w:multiLevelType w:val="multilevel"/>
    <w:tmpl w:val="4E195EF8"/>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2">
    <w:nsid w:val="53F70208"/>
    <w:multiLevelType w:val="multilevel"/>
    <w:tmpl w:val="53F70208"/>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3">
    <w:nsid w:val="543C51A3"/>
    <w:multiLevelType w:val="multilevel"/>
    <w:tmpl w:val="543C51A3"/>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4">
    <w:nsid w:val="54E87F0C"/>
    <w:multiLevelType w:val="multilevel"/>
    <w:tmpl w:val="54E87F0C"/>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5">
    <w:nsid w:val="5579410E"/>
    <w:multiLevelType w:val="multilevel"/>
    <w:tmpl w:val="5579410E"/>
    <w:lvl w:ilvl="0" w:tentative="0">
      <w:start w:val="1"/>
      <w:numFmt w:val="decimal"/>
      <w:lvlText w:val="%1)"/>
      <w:lvlJc w:val="left"/>
      <w:pPr>
        <w:ind w:left="960" w:hanging="36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56">
    <w:nsid w:val="593A4C9C"/>
    <w:multiLevelType w:val="multilevel"/>
    <w:tmpl w:val="593A4C9C"/>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7">
    <w:nsid w:val="59B37B00"/>
    <w:multiLevelType w:val="multilevel"/>
    <w:tmpl w:val="59B37B00"/>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8">
    <w:nsid w:val="5C1A1F78"/>
    <w:multiLevelType w:val="multilevel"/>
    <w:tmpl w:val="5C1A1F78"/>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9">
    <w:nsid w:val="5D9C7EE9"/>
    <w:multiLevelType w:val="multilevel"/>
    <w:tmpl w:val="5D9C7EE9"/>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0">
    <w:nsid w:val="5F5D487D"/>
    <w:multiLevelType w:val="multilevel"/>
    <w:tmpl w:val="5F5D487D"/>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1">
    <w:nsid w:val="646B16AF"/>
    <w:multiLevelType w:val="singleLevel"/>
    <w:tmpl w:val="646B16AF"/>
    <w:lvl w:ilvl="0" w:tentative="0">
      <w:start w:val="1"/>
      <w:numFmt w:val="decimal"/>
      <w:suff w:val="space"/>
      <w:lvlText w:val="%1."/>
      <w:lvlJc w:val="left"/>
    </w:lvl>
  </w:abstractNum>
  <w:abstractNum w:abstractNumId="62">
    <w:nsid w:val="6AD5496C"/>
    <w:multiLevelType w:val="multilevel"/>
    <w:tmpl w:val="6AD5496C"/>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3">
    <w:nsid w:val="6B433693"/>
    <w:multiLevelType w:val="multilevel"/>
    <w:tmpl w:val="6B433693"/>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4">
    <w:nsid w:val="6BF13E23"/>
    <w:multiLevelType w:val="multilevel"/>
    <w:tmpl w:val="6BF13E23"/>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5">
    <w:nsid w:val="6C2E62B2"/>
    <w:multiLevelType w:val="multilevel"/>
    <w:tmpl w:val="6C2E62B2"/>
    <w:lvl w:ilvl="0" w:tentative="0">
      <w:start w:val="1"/>
      <w:numFmt w:val="decimal"/>
      <w:pStyle w:val="19"/>
      <w:lvlText w:val="（%1）"/>
      <w:lvlJc w:val="left"/>
      <w:pPr>
        <w:ind w:left="988" w:hanging="420"/>
      </w:pPr>
      <w:rPr>
        <w:rFonts w:hint="eastAsia"/>
      </w:rPr>
    </w:lvl>
    <w:lvl w:ilvl="1" w:tentative="0">
      <w:start w:val="1"/>
      <w:numFmt w:val="lowerLetter"/>
      <w:lvlText w:val="%2)"/>
      <w:lvlJc w:val="left"/>
      <w:pPr>
        <w:ind w:left="1408" w:hanging="420"/>
      </w:pPr>
    </w:lvl>
    <w:lvl w:ilvl="2" w:tentative="0">
      <w:start w:val="1"/>
      <w:numFmt w:val="lowerRoman"/>
      <w:lvlText w:val="%3."/>
      <w:lvlJc w:val="right"/>
      <w:pPr>
        <w:ind w:left="1828" w:hanging="420"/>
      </w:pPr>
    </w:lvl>
    <w:lvl w:ilvl="3" w:tentative="0">
      <w:start w:val="1"/>
      <w:numFmt w:val="decimal"/>
      <w:lvlText w:val="%4."/>
      <w:lvlJc w:val="left"/>
      <w:pPr>
        <w:ind w:left="2248" w:hanging="420"/>
      </w:pPr>
    </w:lvl>
    <w:lvl w:ilvl="4" w:tentative="0">
      <w:start w:val="1"/>
      <w:numFmt w:val="lowerLetter"/>
      <w:lvlText w:val="%5)"/>
      <w:lvlJc w:val="left"/>
      <w:pPr>
        <w:ind w:left="2668" w:hanging="420"/>
      </w:pPr>
    </w:lvl>
    <w:lvl w:ilvl="5" w:tentative="0">
      <w:start w:val="1"/>
      <w:numFmt w:val="lowerRoman"/>
      <w:lvlText w:val="%6."/>
      <w:lvlJc w:val="right"/>
      <w:pPr>
        <w:ind w:left="3088" w:hanging="420"/>
      </w:pPr>
    </w:lvl>
    <w:lvl w:ilvl="6" w:tentative="0">
      <w:start w:val="1"/>
      <w:numFmt w:val="decimal"/>
      <w:lvlText w:val="%7."/>
      <w:lvlJc w:val="left"/>
      <w:pPr>
        <w:ind w:left="3508" w:hanging="420"/>
      </w:pPr>
    </w:lvl>
    <w:lvl w:ilvl="7" w:tentative="0">
      <w:start w:val="1"/>
      <w:numFmt w:val="lowerLetter"/>
      <w:lvlText w:val="%8)"/>
      <w:lvlJc w:val="left"/>
      <w:pPr>
        <w:ind w:left="3928" w:hanging="420"/>
      </w:pPr>
    </w:lvl>
    <w:lvl w:ilvl="8" w:tentative="0">
      <w:start w:val="1"/>
      <w:numFmt w:val="lowerRoman"/>
      <w:lvlText w:val="%9."/>
      <w:lvlJc w:val="right"/>
      <w:pPr>
        <w:ind w:left="4348" w:hanging="420"/>
      </w:pPr>
    </w:lvl>
  </w:abstractNum>
  <w:abstractNum w:abstractNumId="66">
    <w:nsid w:val="6E13256B"/>
    <w:multiLevelType w:val="multilevel"/>
    <w:tmpl w:val="6E13256B"/>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7">
    <w:nsid w:val="6EE503B2"/>
    <w:multiLevelType w:val="multilevel"/>
    <w:tmpl w:val="6EE503B2"/>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8">
    <w:nsid w:val="724472C4"/>
    <w:multiLevelType w:val="multilevel"/>
    <w:tmpl w:val="724472C4"/>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9">
    <w:nsid w:val="7376390E"/>
    <w:multiLevelType w:val="multilevel"/>
    <w:tmpl w:val="7376390E"/>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0">
    <w:nsid w:val="74442D6F"/>
    <w:multiLevelType w:val="multilevel"/>
    <w:tmpl w:val="74442D6F"/>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1">
    <w:nsid w:val="76FA2E67"/>
    <w:multiLevelType w:val="multilevel"/>
    <w:tmpl w:val="76FA2E67"/>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2">
    <w:nsid w:val="7754141D"/>
    <w:multiLevelType w:val="multilevel"/>
    <w:tmpl w:val="7754141D"/>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3">
    <w:nsid w:val="781D53ED"/>
    <w:multiLevelType w:val="multilevel"/>
    <w:tmpl w:val="781D53ED"/>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4">
    <w:nsid w:val="7AAF6843"/>
    <w:multiLevelType w:val="multilevel"/>
    <w:tmpl w:val="7AAF6843"/>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5">
    <w:nsid w:val="7DAA4961"/>
    <w:multiLevelType w:val="multilevel"/>
    <w:tmpl w:val="7DAA4961"/>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6">
    <w:nsid w:val="7E4C7BC5"/>
    <w:multiLevelType w:val="multilevel"/>
    <w:tmpl w:val="7E4C7BC5"/>
    <w:lvl w:ilvl="0" w:tentative="0">
      <w:start w:val="1"/>
      <w:numFmt w:val="decimal"/>
      <w:lvlText w:val="%1."/>
      <w:lvlJc w:val="left"/>
      <w:pPr>
        <w:tabs>
          <w:tab w:val="left" w:pos="420"/>
        </w:tabs>
        <w:ind w:left="420" w:hanging="42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7">
    <w:nsid w:val="7E6F2E99"/>
    <w:multiLevelType w:val="multilevel"/>
    <w:tmpl w:val="7E6F2E99"/>
    <w:lvl w:ilvl="0" w:tentative="0">
      <w:start w:val="1"/>
      <w:numFmt w:val="decimal"/>
      <w:lvlText w:val="%1、"/>
      <w:lvlJc w:val="left"/>
      <w:pPr>
        <w:tabs>
          <w:tab w:val="left" w:pos="360"/>
        </w:tabs>
        <w:ind w:left="360" w:hanging="360"/>
      </w:pPr>
      <w:rPr>
        <w:rFonts w:hint="default" w:ascii="宋体" w:hAnsi="宋体" w:eastAsia="宋体"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65"/>
  </w:num>
  <w:num w:numId="2">
    <w:abstractNumId w:val="15"/>
  </w:num>
  <w:num w:numId="3">
    <w:abstractNumId w:val="41"/>
  </w:num>
  <w:num w:numId="4">
    <w:abstractNumId w:val="75"/>
  </w:num>
  <w:num w:numId="5">
    <w:abstractNumId w:val="21"/>
  </w:num>
  <w:num w:numId="6">
    <w:abstractNumId w:val="64"/>
  </w:num>
  <w:num w:numId="7">
    <w:abstractNumId w:val="53"/>
  </w:num>
  <w:num w:numId="8">
    <w:abstractNumId w:val="14"/>
  </w:num>
  <w:num w:numId="9">
    <w:abstractNumId w:val="17"/>
  </w:num>
  <w:num w:numId="10">
    <w:abstractNumId w:val="1"/>
  </w:num>
  <w:num w:numId="11">
    <w:abstractNumId w:val="67"/>
  </w:num>
  <w:num w:numId="12">
    <w:abstractNumId w:val="47"/>
  </w:num>
  <w:num w:numId="13">
    <w:abstractNumId w:val="10"/>
  </w:num>
  <w:num w:numId="14">
    <w:abstractNumId w:val="48"/>
  </w:num>
  <w:num w:numId="15">
    <w:abstractNumId w:val="60"/>
  </w:num>
  <w:num w:numId="16">
    <w:abstractNumId w:val="20"/>
  </w:num>
  <w:num w:numId="17">
    <w:abstractNumId w:val="49"/>
  </w:num>
  <w:num w:numId="18">
    <w:abstractNumId w:val="66"/>
  </w:num>
  <w:num w:numId="19">
    <w:abstractNumId w:val="19"/>
  </w:num>
  <w:num w:numId="20">
    <w:abstractNumId w:val="25"/>
  </w:num>
  <w:num w:numId="21">
    <w:abstractNumId w:val="24"/>
  </w:num>
  <w:num w:numId="22">
    <w:abstractNumId w:val="38"/>
  </w:num>
  <w:num w:numId="23">
    <w:abstractNumId w:val="71"/>
  </w:num>
  <w:num w:numId="24">
    <w:abstractNumId w:val="77"/>
  </w:num>
  <w:num w:numId="25">
    <w:abstractNumId w:val="4"/>
  </w:num>
  <w:num w:numId="26">
    <w:abstractNumId w:val="57"/>
  </w:num>
  <w:num w:numId="27">
    <w:abstractNumId w:val="69"/>
  </w:num>
  <w:num w:numId="28">
    <w:abstractNumId w:val="73"/>
  </w:num>
  <w:num w:numId="29">
    <w:abstractNumId w:val="7"/>
  </w:num>
  <w:num w:numId="30">
    <w:abstractNumId w:val="9"/>
  </w:num>
  <w:num w:numId="31">
    <w:abstractNumId w:val="12"/>
  </w:num>
  <w:num w:numId="32">
    <w:abstractNumId w:val="43"/>
  </w:num>
  <w:num w:numId="33">
    <w:abstractNumId w:val="26"/>
  </w:num>
  <w:num w:numId="34">
    <w:abstractNumId w:val="52"/>
  </w:num>
  <w:num w:numId="35">
    <w:abstractNumId w:val="76"/>
  </w:num>
  <w:num w:numId="36">
    <w:abstractNumId w:val="3"/>
  </w:num>
  <w:num w:numId="37">
    <w:abstractNumId w:val="11"/>
  </w:num>
  <w:num w:numId="38">
    <w:abstractNumId w:val="70"/>
  </w:num>
  <w:num w:numId="39">
    <w:abstractNumId w:val="54"/>
  </w:num>
  <w:num w:numId="40">
    <w:abstractNumId w:val="50"/>
  </w:num>
  <w:num w:numId="41">
    <w:abstractNumId w:val="40"/>
  </w:num>
  <w:num w:numId="42">
    <w:abstractNumId w:val="59"/>
  </w:num>
  <w:num w:numId="43">
    <w:abstractNumId w:val="63"/>
  </w:num>
  <w:num w:numId="44">
    <w:abstractNumId w:val="46"/>
  </w:num>
  <w:num w:numId="45">
    <w:abstractNumId w:val="56"/>
  </w:num>
  <w:num w:numId="46">
    <w:abstractNumId w:val="5"/>
  </w:num>
  <w:num w:numId="47">
    <w:abstractNumId w:val="16"/>
  </w:num>
  <w:num w:numId="48">
    <w:abstractNumId w:val="30"/>
  </w:num>
  <w:num w:numId="49">
    <w:abstractNumId w:val="13"/>
  </w:num>
  <w:num w:numId="50">
    <w:abstractNumId w:val="42"/>
  </w:num>
  <w:num w:numId="51">
    <w:abstractNumId w:val="45"/>
  </w:num>
  <w:num w:numId="52">
    <w:abstractNumId w:val="23"/>
  </w:num>
  <w:num w:numId="53">
    <w:abstractNumId w:val="58"/>
  </w:num>
  <w:num w:numId="54">
    <w:abstractNumId w:val="51"/>
  </w:num>
  <w:num w:numId="55">
    <w:abstractNumId w:val="36"/>
  </w:num>
  <w:num w:numId="56">
    <w:abstractNumId w:val="18"/>
  </w:num>
  <w:num w:numId="57">
    <w:abstractNumId w:val="74"/>
  </w:num>
  <w:num w:numId="58">
    <w:abstractNumId w:val="68"/>
  </w:num>
  <w:num w:numId="59">
    <w:abstractNumId w:val="72"/>
  </w:num>
  <w:num w:numId="60">
    <w:abstractNumId w:val="27"/>
  </w:num>
  <w:num w:numId="61">
    <w:abstractNumId w:val="35"/>
  </w:num>
  <w:num w:numId="62">
    <w:abstractNumId w:val="29"/>
  </w:num>
  <w:num w:numId="63">
    <w:abstractNumId w:val="39"/>
  </w:num>
  <w:num w:numId="64">
    <w:abstractNumId w:val="62"/>
  </w:num>
  <w:num w:numId="65">
    <w:abstractNumId w:val="34"/>
  </w:num>
  <w:num w:numId="66">
    <w:abstractNumId w:val="33"/>
  </w:num>
  <w:num w:numId="67">
    <w:abstractNumId w:val="8"/>
  </w:num>
  <w:num w:numId="68">
    <w:abstractNumId w:val="2"/>
  </w:num>
  <w:num w:numId="69">
    <w:abstractNumId w:val="31"/>
  </w:num>
  <w:num w:numId="70">
    <w:abstractNumId w:val="0"/>
  </w:num>
  <w:num w:numId="71">
    <w:abstractNumId w:val="28"/>
  </w:num>
  <w:num w:numId="72">
    <w:abstractNumId w:val="37"/>
  </w:num>
  <w:num w:numId="73">
    <w:abstractNumId w:val="55"/>
  </w:num>
  <w:num w:numId="74">
    <w:abstractNumId w:val="32"/>
  </w:num>
  <w:num w:numId="75">
    <w:abstractNumId w:val="44"/>
  </w:num>
  <w:num w:numId="76">
    <w:abstractNumId w:val="61"/>
  </w:num>
  <w:num w:numId="77">
    <w:abstractNumId w:val="22"/>
  </w:num>
  <w:num w:numId="7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739"/>
    <w:rsid w:val="000459A1"/>
    <w:rsid w:val="000A1342"/>
    <w:rsid w:val="000A786E"/>
    <w:rsid w:val="002227D0"/>
    <w:rsid w:val="0022687B"/>
    <w:rsid w:val="00293C23"/>
    <w:rsid w:val="00314BEB"/>
    <w:rsid w:val="0049689A"/>
    <w:rsid w:val="00566CEF"/>
    <w:rsid w:val="005E7289"/>
    <w:rsid w:val="006648BC"/>
    <w:rsid w:val="006768FB"/>
    <w:rsid w:val="00692D36"/>
    <w:rsid w:val="006D117D"/>
    <w:rsid w:val="00752739"/>
    <w:rsid w:val="00762E4D"/>
    <w:rsid w:val="007838E9"/>
    <w:rsid w:val="008C3083"/>
    <w:rsid w:val="00911D74"/>
    <w:rsid w:val="00A02B63"/>
    <w:rsid w:val="00BF25A9"/>
    <w:rsid w:val="00CB3A42"/>
    <w:rsid w:val="00D67FF1"/>
    <w:rsid w:val="00D760E0"/>
    <w:rsid w:val="00E03015"/>
    <w:rsid w:val="00E240B7"/>
    <w:rsid w:val="00F40F4A"/>
    <w:rsid w:val="00F82F76"/>
    <w:rsid w:val="00FF4F5E"/>
    <w:rsid w:val="014E123A"/>
    <w:rsid w:val="01A133D1"/>
    <w:rsid w:val="02685539"/>
    <w:rsid w:val="029A5310"/>
    <w:rsid w:val="0DF25280"/>
    <w:rsid w:val="0E0278E0"/>
    <w:rsid w:val="0EB818B9"/>
    <w:rsid w:val="10927B1E"/>
    <w:rsid w:val="10FF0242"/>
    <w:rsid w:val="12555600"/>
    <w:rsid w:val="142D6988"/>
    <w:rsid w:val="15916D93"/>
    <w:rsid w:val="1B3722D6"/>
    <w:rsid w:val="1B784614"/>
    <w:rsid w:val="1BAA7F7A"/>
    <w:rsid w:val="1F655382"/>
    <w:rsid w:val="2AB13E45"/>
    <w:rsid w:val="2BBC3D7D"/>
    <w:rsid w:val="2CCE6C8B"/>
    <w:rsid w:val="2FCA5831"/>
    <w:rsid w:val="3293118D"/>
    <w:rsid w:val="32A51D48"/>
    <w:rsid w:val="3654353B"/>
    <w:rsid w:val="39F82909"/>
    <w:rsid w:val="424F7FC7"/>
    <w:rsid w:val="44EE1BBD"/>
    <w:rsid w:val="47A715ED"/>
    <w:rsid w:val="48504ED2"/>
    <w:rsid w:val="4A5B4346"/>
    <w:rsid w:val="4CE62EBD"/>
    <w:rsid w:val="4DED218C"/>
    <w:rsid w:val="4E153D6B"/>
    <w:rsid w:val="4F434AF2"/>
    <w:rsid w:val="51183BBC"/>
    <w:rsid w:val="54330162"/>
    <w:rsid w:val="569010C4"/>
    <w:rsid w:val="57A97C55"/>
    <w:rsid w:val="57C83A28"/>
    <w:rsid w:val="5CFE5DE3"/>
    <w:rsid w:val="5D510548"/>
    <w:rsid w:val="5F90362C"/>
    <w:rsid w:val="659D3A3B"/>
    <w:rsid w:val="6B8F627F"/>
    <w:rsid w:val="7151171F"/>
    <w:rsid w:val="71E11BFE"/>
    <w:rsid w:val="727C3F40"/>
    <w:rsid w:val="72FA7137"/>
    <w:rsid w:val="75312A74"/>
    <w:rsid w:val="7CA00E1B"/>
    <w:rsid w:val="7DBD6600"/>
    <w:rsid w:val="7EEB58DE"/>
    <w:rsid w:val="7FCA2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qFormat="1" w:unhideWhenUsed="0" w:uiPriority="0" w:semiHidden="0"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8"/>
    <w:qFormat/>
    <w:uiPriority w:val="0"/>
    <w:pPr>
      <w:keepNext/>
      <w:keepLines/>
      <w:adjustRightInd w:val="0"/>
      <w:spacing w:before="240" w:line="360" w:lineRule="auto"/>
      <w:textAlignment w:val="baseline"/>
      <w:outlineLvl w:val="0"/>
    </w:pPr>
    <w:rPr>
      <w:kern w:val="44"/>
      <w:sz w:val="24"/>
    </w:rPr>
  </w:style>
  <w:style w:type="paragraph" w:styleId="3">
    <w:name w:val="heading 2"/>
    <w:basedOn w:val="1"/>
    <w:next w:val="1"/>
    <w:link w:val="38"/>
    <w:qFormat/>
    <w:uiPriority w:val="0"/>
    <w:pPr>
      <w:keepNext/>
      <w:keepLines/>
      <w:snapToGrid w:val="0"/>
      <w:spacing w:line="360" w:lineRule="auto"/>
      <w:jc w:val="center"/>
      <w:outlineLvl w:val="1"/>
    </w:pPr>
    <w:rPr>
      <w:rFonts w:ascii="Arial" w:hAnsi="Arial"/>
      <w:b/>
      <w:bCs/>
      <w:sz w:val="32"/>
      <w:szCs w:val="32"/>
    </w:rPr>
  </w:style>
  <w:style w:type="paragraph" w:styleId="4">
    <w:name w:val="heading 3"/>
    <w:basedOn w:val="1"/>
    <w:next w:val="1"/>
    <w:link w:val="39"/>
    <w:qFormat/>
    <w:uiPriority w:val="0"/>
    <w:pPr>
      <w:keepNext/>
      <w:keepLines/>
      <w:spacing w:before="260" w:after="260" w:line="416" w:lineRule="auto"/>
      <w:outlineLvl w:val="2"/>
    </w:pPr>
    <w:rPr>
      <w:b/>
      <w:bCs/>
      <w:sz w:val="32"/>
      <w:szCs w:val="32"/>
    </w:rPr>
  </w:style>
  <w:style w:type="paragraph" w:styleId="5">
    <w:name w:val="heading 5"/>
    <w:basedOn w:val="1"/>
    <w:next w:val="1"/>
    <w:link w:val="40"/>
    <w:qFormat/>
    <w:uiPriority w:val="0"/>
    <w:pPr>
      <w:keepNext/>
      <w:keepLines/>
      <w:spacing w:before="280" w:after="290" w:line="376" w:lineRule="auto"/>
      <w:outlineLvl w:val="4"/>
    </w:pPr>
    <w:rPr>
      <w:b/>
      <w:bCs/>
      <w:sz w:val="28"/>
      <w:szCs w:val="28"/>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74"/>
    <w:qFormat/>
    <w:uiPriority w:val="0"/>
    <w:pPr>
      <w:ind w:firstLine="420"/>
    </w:pPr>
    <w:rPr>
      <w:szCs w:val="20"/>
    </w:rPr>
  </w:style>
  <w:style w:type="paragraph" w:styleId="7">
    <w:name w:val="Document Map"/>
    <w:basedOn w:val="1"/>
    <w:link w:val="43"/>
    <w:qFormat/>
    <w:uiPriority w:val="0"/>
    <w:rPr>
      <w:rFonts w:ascii="宋体" w:hAnsiTheme="minorHAnsi" w:eastAsiaTheme="minorEastAsia" w:cstheme="minorBidi"/>
      <w:sz w:val="18"/>
      <w:szCs w:val="18"/>
    </w:rPr>
  </w:style>
  <w:style w:type="paragraph" w:styleId="8">
    <w:name w:val="annotation text"/>
    <w:basedOn w:val="1"/>
    <w:link w:val="44"/>
    <w:qFormat/>
    <w:uiPriority w:val="99"/>
    <w:pPr>
      <w:jc w:val="left"/>
    </w:pPr>
    <w:rPr>
      <w:rFonts w:asciiTheme="minorHAnsi" w:hAnsiTheme="minorHAnsi"/>
      <w:sz w:val="24"/>
    </w:rPr>
  </w:style>
  <w:style w:type="paragraph" w:styleId="9">
    <w:name w:val="Body Text"/>
    <w:basedOn w:val="1"/>
    <w:link w:val="61"/>
    <w:qFormat/>
    <w:uiPriority w:val="0"/>
    <w:pPr>
      <w:spacing w:after="120"/>
    </w:pPr>
    <w:rPr>
      <w:rFonts w:asciiTheme="minorHAnsi" w:hAnsiTheme="minorHAnsi" w:eastAsiaTheme="minorEastAsia" w:cstheme="minorBidi"/>
      <w:szCs w:val="22"/>
    </w:rPr>
  </w:style>
  <w:style w:type="paragraph" w:styleId="10">
    <w:name w:val="Body Text Indent"/>
    <w:basedOn w:val="1"/>
    <w:link w:val="65"/>
    <w:qFormat/>
    <w:uiPriority w:val="0"/>
    <w:pPr>
      <w:ind w:left="1080" w:firstLine="360"/>
    </w:pPr>
    <w:rPr>
      <w:szCs w:val="20"/>
    </w:rPr>
  </w:style>
  <w:style w:type="paragraph" w:styleId="11">
    <w:name w:val="Block Text"/>
    <w:basedOn w:val="1"/>
    <w:qFormat/>
    <w:uiPriority w:val="0"/>
    <w:pPr>
      <w:ind w:left="792" w:leftChars="377" w:right="254" w:rightChars="121"/>
    </w:pPr>
    <w:rPr>
      <w:sz w:val="24"/>
    </w:rPr>
  </w:style>
  <w:style w:type="paragraph" w:styleId="12">
    <w:name w:val="Plain Text"/>
    <w:basedOn w:val="1"/>
    <w:link w:val="64"/>
    <w:qFormat/>
    <w:uiPriority w:val="0"/>
    <w:rPr>
      <w:rFonts w:ascii="宋体" w:hAnsi="Courier New"/>
      <w:szCs w:val="20"/>
    </w:rPr>
  </w:style>
  <w:style w:type="paragraph" w:styleId="13">
    <w:name w:val="Date"/>
    <w:basedOn w:val="1"/>
    <w:next w:val="1"/>
    <w:link w:val="41"/>
    <w:qFormat/>
    <w:uiPriority w:val="0"/>
    <w:pPr>
      <w:autoSpaceDE w:val="0"/>
      <w:autoSpaceDN w:val="0"/>
      <w:adjustRightInd w:val="0"/>
      <w:textAlignment w:val="baseline"/>
    </w:pPr>
    <w:rPr>
      <w:rFonts w:asciiTheme="minorHAnsi" w:hAnsiTheme="minorHAnsi" w:eastAsiaTheme="minorEastAsia" w:cstheme="minorBidi"/>
      <w:spacing w:val="10"/>
      <w:sz w:val="24"/>
      <w:szCs w:val="22"/>
    </w:rPr>
  </w:style>
  <w:style w:type="paragraph" w:styleId="14">
    <w:name w:val="Body Text Indent 2"/>
    <w:basedOn w:val="1"/>
    <w:link w:val="63"/>
    <w:qFormat/>
    <w:uiPriority w:val="0"/>
    <w:pPr>
      <w:spacing w:line="440" w:lineRule="exact"/>
      <w:ind w:left="480" w:firstLine="720"/>
    </w:pPr>
    <w:rPr>
      <w:rFonts w:ascii="宋体" w:hAnsi="宋体"/>
      <w:sz w:val="24"/>
      <w:szCs w:val="20"/>
    </w:rPr>
  </w:style>
  <w:style w:type="paragraph" w:styleId="15">
    <w:name w:val="Balloon Text"/>
    <w:basedOn w:val="1"/>
    <w:link w:val="45"/>
    <w:qFormat/>
    <w:uiPriority w:val="0"/>
    <w:rPr>
      <w:sz w:val="18"/>
      <w:szCs w:val="18"/>
    </w:rPr>
  </w:style>
  <w:style w:type="paragraph" w:styleId="16">
    <w:name w:val="footer"/>
    <w:basedOn w:val="1"/>
    <w:link w:val="37"/>
    <w:unhideWhenUsed/>
    <w:qFormat/>
    <w:uiPriority w:val="99"/>
    <w:pPr>
      <w:tabs>
        <w:tab w:val="center" w:pos="4153"/>
        <w:tab w:val="right" w:pos="8306"/>
      </w:tabs>
      <w:snapToGrid w:val="0"/>
      <w:jc w:val="left"/>
    </w:pPr>
    <w:rPr>
      <w:sz w:val="18"/>
      <w:szCs w:val="18"/>
    </w:rPr>
  </w:style>
  <w:style w:type="paragraph" w:styleId="17">
    <w:name w:val="header"/>
    <w:basedOn w:val="1"/>
    <w:link w:val="36"/>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pPr>
      <w:spacing w:line="360" w:lineRule="auto"/>
      <w:jc w:val="left"/>
    </w:pPr>
    <w:rPr>
      <w:rFonts w:ascii="Calibri" w:hAnsi="Calibri"/>
      <w:sz w:val="24"/>
    </w:rPr>
  </w:style>
  <w:style w:type="paragraph" w:styleId="19">
    <w:name w:val="index heading"/>
    <w:basedOn w:val="1"/>
    <w:next w:val="20"/>
    <w:qFormat/>
    <w:uiPriority w:val="0"/>
    <w:pPr>
      <w:numPr>
        <w:ilvl w:val="0"/>
        <w:numId w:val="1"/>
      </w:numPr>
      <w:ind w:left="0" w:firstLine="0"/>
    </w:pPr>
    <w:rPr>
      <w:szCs w:val="20"/>
    </w:rPr>
  </w:style>
  <w:style w:type="paragraph" w:styleId="20">
    <w:name w:val="index 1"/>
    <w:basedOn w:val="1"/>
    <w:next w:val="1"/>
    <w:qFormat/>
    <w:uiPriority w:val="0"/>
    <w:rPr>
      <w:sz w:val="24"/>
    </w:rPr>
  </w:style>
  <w:style w:type="paragraph" w:styleId="21">
    <w:name w:val="Subtitle"/>
    <w:basedOn w:val="1"/>
    <w:next w:val="1"/>
    <w:link w:val="99"/>
    <w:qFormat/>
    <w:uiPriority w:val="0"/>
    <w:pPr>
      <w:spacing w:before="240" w:after="60" w:line="312" w:lineRule="auto"/>
      <w:jc w:val="center"/>
      <w:outlineLvl w:val="1"/>
    </w:pPr>
    <w:rPr>
      <w:rFonts w:ascii="Cambria" w:hAnsi="Cambria" w:eastAsiaTheme="minorEastAsia" w:cstheme="minorBidi"/>
      <w:b/>
      <w:bCs/>
      <w:kern w:val="28"/>
      <w:sz w:val="32"/>
      <w:szCs w:val="32"/>
    </w:rPr>
  </w:style>
  <w:style w:type="paragraph" w:styleId="22">
    <w:name w:val="Body Text Indent 3"/>
    <w:basedOn w:val="1"/>
    <w:link w:val="50"/>
    <w:qFormat/>
    <w:uiPriority w:val="0"/>
    <w:pPr>
      <w:spacing w:after="120"/>
      <w:ind w:left="420" w:leftChars="200"/>
    </w:pPr>
    <w:rPr>
      <w:sz w:val="16"/>
      <w:szCs w:val="16"/>
    </w:rPr>
  </w:style>
  <w:style w:type="paragraph" w:styleId="23">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4">
    <w:name w:val="Normal (Web)"/>
    <w:basedOn w:val="1"/>
    <w:unhideWhenUsed/>
    <w:qFormat/>
    <w:uiPriority w:val="99"/>
    <w:pPr>
      <w:spacing w:beforeAutospacing="1" w:afterAutospacing="1"/>
      <w:jc w:val="left"/>
    </w:pPr>
    <w:rPr>
      <w:kern w:val="0"/>
      <w:sz w:val="24"/>
    </w:rPr>
  </w:style>
  <w:style w:type="paragraph" w:styleId="25">
    <w:name w:val="Title"/>
    <w:basedOn w:val="1"/>
    <w:next w:val="1"/>
    <w:link w:val="75"/>
    <w:qFormat/>
    <w:uiPriority w:val="10"/>
    <w:pPr>
      <w:spacing w:before="240" w:after="60"/>
      <w:jc w:val="center"/>
      <w:outlineLvl w:val="0"/>
    </w:pPr>
    <w:rPr>
      <w:rFonts w:ascii="Calibri Light" w:hAnsi="Calibri Light"/>
      <w:b/>
      <w:bCs/>
      <w:sz w:val="32"/>
      <w:szCs w:val="32"/>
    </w:rPr>
  </w:style>
  <w:style w:type="paragraph" w:styleId="26">
    <w:name w:val="annotation subject"/>
    <w:basedOn w:val="8"/>
    <w:next w:val="8"/>
    <w:link w:val="49"/>
    <w:qFormat/>
    <w:uiPriority w:val="99"/>
    <w:rPr>
      <w:b/>
      <w:bCs/>
    </w:rPr>
  </w:style>
  <w:style w:type="table" w:styleId="28">
    <w:name w:val="Table Grid"/>
    <w:basedOn w:val="27"/>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0">
    <w:name w:val="Strong"/>
    <w:qFormat/>
    <w:uiPriority w:val="0"/>
    <w:rPr>
      <w:b/>
      <w:bCs/>
    </w:rPr>
  </w:style>
  <w:style w:type="character" w:styleId="31">
    <w:name w:val="page number"/>
    <w:basedOn w:val="29"/>
    <w:qFormat/>
    <w:uiPriority w:val="0"/>
  </w:style>
  <w:style w:type="character" w:styleId="32">
    <w:name w:val="FollowedHyperlink"/>
    <w:basedOn w:val="29"/>
    <w:semiHidden/>
    <w:unhideWhenUsed/>
    <w:qFormat/>
    <w:uiPriority w:val="99"/>
    <w:rPr>
      <w:color w:val="954F72" w:themeColor="followedHyperlink"/>
      <w:u w:val="single"/>
      <w14:textFill>
        <w14:solidFill>
          <w14:schemeClr w14:val="folHlink"/>
        </w14:solidFill>
      </w14:textFill>
    </w:rPr>
  </w:style>
  <w:style w:type="character" w:styleId="33">
    <w:name w:val="Emphasis"/>
    <w:qFormat/>
    <w:uiPriority w:val="0"/>
    <w:rPr>
      <w:i/>
      <w:iCs/>
    </w:rPr>
  </w:style>
  <w:style w:type="character" w:styleId="34">
    <w:name w:val="Hyperlink"/>
    <w:qFormat/>
    <w:uiPriority w:val="99"/>
    <w:rPr>
      <w:color w:val="0000FF"/>
      <w:u w:val="single"/>
    </w:rPr>
  </w:style>
  <w:style w:type="character" w:styleId="35">
    <w:name w:val="annotation reference"/>
    <w:qFormat/>
    <w:uiPriority w:val="99"/>
    <w:rPr>
      <w:rFonts w:cs="Times New Roman"/>
      <w:sz w:val="21"/>
      <w:szCs w:val="21"/>
    </w:rPr>
  </w:style>
  <w:style w:type="character" w:customStyle="1" w:styleId="36">
    <w:name w:val="页眉 Char"/>
    <w:basedOn w:val="29"/>
    <w:link w:val="17"/>
    <w:qFormat/>
    <w:uiPriority w:val="0"/>
    <w:rPr>
      <w:sz w:val="18"/>
      <w:szCs w:val="18"/>
    </w:rPr>
  </w:style>
  <w:style w:type="character" w:customStyle="1" w:styleId="37">
    <w:name w:val="页脚 Char"/>
    <w:basedOn w:val="29"/>
    <w:link w:val="16"/>
    <w:qFormat/>
    <w:uiPriority w:val="99"/>
    <w:rPr>
      <w:sz w:val="18"/>
      <w:szCs w:val="18"/>
    </w:rPr>
  </w:style>
  <w:style w:type="character" w:customStyle="1" w:styleId="38">
    <w:name w:val="标题 2 Char"/>
    <w:basedOn w:val="29"/>
    <w:link w:val="3"/>
    <w:qFormat/>
    <w:uiPriority w:val="0"/>
    <w:rPr>
      <w:rFonts w:ascii="Arial" w:hAnsi="Arial" w:eastAsia="宋体" w:cs="Times New Roman"/>
      <w:b/>
      <w:bCs/>
      <w:sz w:val="32"/>
      <w:szCs w:val="32"/>
    </w:rPr>
  </w:style>
  <w:style w:type="character" w:customStyle="1" w:styleId="39">
    <w:name w:val="标题 3 Char"/>
    <w:basedOn w:val="29"/>
    <w:link w:val="4"/>
    <w:qFormat/>
    <w:uiPriority w:val="0"/>
    <w:rPr>
      <w:rFonts w:ascii="Times New Roman" w:hAnsi="Times New Roman" w:eastAsia="宋体" w:cs="Times New Roman"/>
      <w:b/>
      <w:bCs/>
      <w:sz w:val="32"/>
      <w:szCs w:val="32"/>
    </w:rPr>
  </w:style>
  <w:style w:type="character" w:customStyle="1" w:styleId="40">
    <w:name w:val="标题 5 Char"/>
    <w:basedOn w:val="29"/>
    <w:link w:val="5"/>
    <w:qFormat/>
    <w:uiPriority w:val="0"/>
    <w:rPr>
      <w:rFonts w:ascii="Times New Roman" w:hAnsi="Times New Roman" w:eastAsia="宋体" w:cs="Times New Roman"/>
      <w:b/>
      <w:bCs/>
      <w:sz w:val="28"/>
      <w:szCs w:val="28"/>
    </w:rPr>
  </w:style>
  <w:style w:type="character" w:customStyle="1" w:styleId="41">
    <w:name w:val="日期 Char"/>
    <w:link w:val="13"/>
    <w:qFormat/>
    <w:locked/>
    <w:uiPriority w:val="0"/>
    <w:rPr>
      <w:spacing w:val="10"/>
      <w:sz w:val="24"/>
    </w:rPr>
  </w:style>
  <w:style w:type="character" w:customStyle="1" w:styleId="42">
    <w:name w:val="apple-converted-space"/>
    <w:basedOn w:val="29"/>
    <w:qFormat/>
    <w:uiPriority w:val="0"/>
  </w:style>
  <w:style w:type="character" w:customStyle="1" w:styleId="43">
    <w:name w:val="文档结构图 Char"/>
    <w:link w:val="7"/>
    <w:qFormat/>
    <w:uiPriority w:val="0"/>
    <w:rPr>
      <w:rFonts w:ascii="宋体"/>
      <w:sz w:val="18"/>
      <w:szCs w:val="18"/>
    </w:rPr>
  </w:style>
  <w:style w:type="character" w:customStyle="1" w:styleId="44">
    <w:name w:val="批注文字 Char"/>
    <w:link w:val="8"/>
    <w:qFormat/>
    <w:locked/>
    <w:uiPriority w:val="99"/>
    <w:rPr>
      <w:rFonts w:eastAsia="宋体" w:cs="Times New Roman"/>
      <w:sz w:val="24"/>
      <w:szCs w:val="24"/>
    </w:rPr>
  </w:style>
  <w:style w:type="character" w:customStyle="1" w:styleId="45">
    <w:name w:val="批注框文本 Char"/>
    <w:basedOn w:val="29"/>
    <w:link w:val="15"/>
    <w:qFormat/>
    <w:uiPriority w:val="0"/>
    <w:rPr>
      <w:rFonts w:ascii="Times New Roman" w:hAnsi="Times New Roman" w:eastAsia="宋体" w:cs="Times New Roman"/>
      <w:sz w:val="18"/>
      <w:szCs w:val="18"/>
    </w:rPr>
  </w:style>
  <w:style w:type="character" w:customStyle="1" w:styleId="46">
    <w:name w:val="日期 Char1"/>
    <w:basedOn w:val="29"/>
    <w:semiHidden/>
    <w:qFormat/>
    <w:uiPriority w:val="99"/>
    <w:rPr>
      <w:rFonts w:ascii="Times New Roman" w:hAnsi="Times New Roman" w:eastAsia="宋体" w:cs="Times New Roman"/>
      <w:szCs w:val="24"/>
    </w:rPr>
  </w:style>
  <w:style w:type="character" w:customStyle="1" w:styleId="47">
    <w:name w:val="批注文字 Char1"/>
    <w:basedOn w:val="29"/>
    <w:semiHidden/>
    <w:qFormat/>
    <w:uiPriority w:val="99"/>
    <w:rPr>
      <w:rFonts w:ascii="Times New Roman" w:hAnsi="Times New Roman" w:eastAsia="宋体" w:cs="Times New Roman"/>
      <w:szCs w:val="24"/>
    </w:rPr>
  </w:style>
  <w:style w:type="character" w:customStyle="1" w:styleId="48">
    <w:name w:val="文档结构图 Char1"/>
    <w:basedOn w:val="29"/>
    <w:semiHidden/>
    <w:qFormat/>
    <w:uiPriority w:val="99"/>
    <w:rPr>
      <w:rFonts w:ascii="Microsoft YaHei UI" w:hAnsi="Times New Roman" w:eastAsia="Microsoft YaHei UI" w:cs="Times New Roman"/>
      <w:sz w:val="18"/>
      <w:szCs w:val="18"/>
    </w:rPr>
  </w:style>
  <w:style w:type="character" w:customStyle="1" w:styleId="49">
    <w:name w:val="批注主题 Char"/>
    <w:basedOn w:val="47"/>
    <w:link w:val="26"/>
    <w:qFormat/>
    <w:uiPriority w:val="99"/>
    <w:rPr>
      <w:rFonts w:ascii="Times New Roman" w:hAnsi="Times New Roman" w:eastAsia="宋体" w:cs="Times New Roman"/>
      <w:b/>
      <w:bCs/>
      <w:sz w:val="24"/>
      <w:szCs w:val="24"/>
    </w:rPr>
  </w:style>
  <w:style w:type="character" w:customStyle="1" w:styleId="50">
    <w:name w:val="正文文本缩进 3 Char"/>
    <w:basedOn w:val="29"/>
    <w:link w:val="22"/>
    <w:qFormat/>
    <w:uiPriority w:val="0"/>
    <w:rPr>
      <w:rFonts w:ascii="Times New Roman" w:hAnsi="Times New Roman" w:eastAsia="宋体" w:cs="Times New Roman"/>
      <w:sz w:val="16"/>
      <w:szCs w:val="16"/>
    </w:rPr>
  </w:style>
  <w:style w:type="paragraph" w:customStyle="1" w:styleId="51">
    <w:name w:val="Char Char3"/>
    <w:basedOn w:val="1"/>
    <w:qFormat/>
    <w:uiPriority w:val="0"/>
    <w:pPr>
      <w:spacing w:line="360" w:lineRule="auto"/>
    </w:pPr>
    <w:rPr>
      <w:rFonts w:ascii="Tahoma" w:hAnsi="Tahoma"/>
      <w:sz w:val="24"/>
      <w:szCs w:val="20"/>
    </w:rPr>
  </w:style>
  <w:style w:type="paragraph" w:customStyle="1" w:styleId="52">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53">
    <w:name w:val="Char"/>
    <w:basedOn w:val="1"/>
    <w:qFormat/>
    <w:uiPriority w:val="0"/>
  </w:style>
  <w:style w:type="paragraph" w:customStyle="1" w:styleId="54">
    <w:name w:val="5"/>
    <w:basedOn w:val="5"/>
    <w:next w:val="5"/>
    <w:qFormat/>
    <w:uiPriority w:val="0"/>
    <w:pPr>
      <w:spacing w:beforeLines="100"/>
      <w:jc w:val="left"/>
    </w:pPr>
    <w:rPr>
      <w:sz w:val="21"/>
    </w:rPr>
  </w:style>
  <w:style w:type="paragraph" w:customStyle="1" w:styleId="55">
    <w:name w:val="样式2"/>
    <w:basedOn w:val="1"/>
    <w:qFormat/>
    <w:uiPriority w:val="0"/>
    <w:pPr>
      <w:spacing w:line="360" w:lineRule="auto"/>
      <w:ind w:firstLine="566" w:firstLineChars="236"/>
      <w:jc w:val="left"/>
    </w:pPr>
    <w:rPr>
      <w:sz w:val="24"/>
    </w:rPr>
  </w:style>
  <w:style w:type="paragraph" w:customStyle="1" w:styleId="56">
    <w:name w:val="Char1"/>
    <w:basedOn w:val="1"/>
    <w:qFormat/>
    <w:uiPriority w:val="0"/>
  </w:style>
  <w:style w:type="paragraph" w:styleId="57">
    <w:name w:val="List Paragraph"/>
    <w:basedOn w:val="1"/>
    <w:qFormat/>
    <w:uiPriority w:val="34"/>
    <w:pPr>
      <w:ind w:firstLine="420" w:firstLineChars="200"/>
    </w:pPr>
  </w:style>
  <w:style w:type="character" w:customStyle="1" w:styleId="58">
    <w:name w:val="标题 1 Char"/>
    <w:basedOn w:val="29"/>
    <w:link w:val="2"/>
    <w:qFormat/>
    <w:uiPriority w:val="0"/>
    <w:rPr>
      <w:rFonts w:ascii="Times New Roman" w:hAnsi="Times New Roman" w:eastAsia="宋体" w:cs="Times New Roman"/>
      <w:kern w:val="44"/>
      <w:sz w:val="24"/>
      <w:szCs w:val="24"/>
    </w:rPr>
  </w:style>
  <w:style w:type="paragraph" w:customStyle="1" w:styleId="59">
    <w:name w:val="_Style 43"/>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60">
    <w:name w:val="font31"/>
    <w:qFormat/>
    <w:uiPriority w:val="0"/>
    <w:rPr>
      <w:rFonts w:hint="eastAsia" w:ascii="宋体" w:hAnsi="宋体" w:eastAsia="宋体" w:cs="宋体"/>
      <w:color w:val="000000"/>
      <w:sz w:val="24"/>
      <w:szCs w:val="24"/>
      <w:u w:val="none"/>
    </w:rPr>
  </w:style>
  <w:style w:type="character" w:customStyle="1" w:styleId="61">
    <w:name w:val="正文文本 Char"/>
    <w:link w:val="9"/>
    <w:qFormat/>
    <w:uiPriority w:val="0"/>
  </w:style>
  <w:style w:type="character" w:customStyle="1" w:styleId="62">
    <w:name w:val="font21"/>
    <w:qFormat/>
    <w:uiPriority w:val="0"/>
    <w:rPr>
      <w:rFonts w:hint="eastAsia" w:ascii="宋体" w:hAnsi="宋体" w:eastAsia="宋体" w:cs="宋体"/>
      <w:color w:val="000000"/>
      <w:sz w:val="24"/>
      <w:szCs w:val="24"/>
      <w:u w:val="none"/>
    </w:rPr>
  </w:style>
  <w:style w:type="character" w:customStyle="1" w:styleId="63">
    <w:name w:val="正文文本缩进 2 Char"/>
    <w:basedOn w:val="29"/>
    <w:link w:val="14"/>
    <w:qFormat/>
    <w:uiPriority w:val="0"/>
    <w:rPr>
      <w:rFonts w:ascii="宋体" w:hAnsi="宋体" w:eastAsia="宋体" w:cs="Times New Roman"/>
      <w:sz w:val="24"/>
      <w:szCs w:val="20"/>
    </w:rPr>
  </w:style>
  <w:style w:type="character" w:customStyle="1" w:styleId="64">
    <w:name w:val="纯文本 Char"/>
    <w:basedOn w:val="29"/>
    <w:link w:val="12"/>
    <w:qFormat/>
    <w:uiPriority w:val="0"/>
    <w:rPr>
      <w:rFonts w:ascii="宋体" w:hAnsi="Courier New" w:eastAsia="宋体" w:cs="Times New Roman"/>
      <w:szCs w:val="20"/>
    </w:rPr>
  </w:style>
  <w:style w:type="character" w:customStyle="1" w:styleId="65">
    <w:name w:val="正文文本缩进 Char"/>
    <w:basedOn w:val="29"/>
    <w:link w:val="10"/>
    <w:qFormat/>
    <w:uiPriority w:val="0"/>
    <w:rPr>
      <w:rFonts w:ascii="Times New Roman" w:hAnsi="Times New Roman" w:eastAsia="宋体" w:cs="Times New Roman"/>
      <w:szCs w:val="20"/>
    </w:rPr>
  </w:style>
  <w:style w:type="character" w:customStyle="1" w:styleId="66">
    <w:name w:val="正文文本 Char1"/>
    <w:basedOn w:val="29"/>
    <w:semiHidden/>
    <w:qFormat/>
    <w:uiPriority w:val="99"/>
    <w:rPr>
      <w:rFonts w:ascii="Times New Roman" w:hAnsi="Times New Roman" w:eastAsia="宋体" w:cs="Times New Roman"/>
      <w:szCs w:val="24"/>
    </w:rPr>
  </w:style>
  <w:style w:type="paragraph" w:customStyle="1" w:styleId="67">
    <w:name w:val="Table Paragraph"/>
    <w:basedOn w:val="1"/>
    <w:qFormat/>
    <w:uiPriority w:val="1"/>
    <w:pPr>
      <w:jc w:val="left"/>
    </w:pPr>
    <w:rPr>
      <w:rFonts w:ascii="Calibri" w:hAnsi="Calibri"/>
      <w:kern w:val="0"/>
      <w:sz w:val="22"/>
      <w:szCs w:val="22"/>
      <w:lang w:eastAsia="en-US"/>
    </w:rPr>
  </w:style>
  <w:style w:type="paragraph" w:customStyle="1" w:styleId="68">
    <w:name w:val="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9">
    <w:name w:val="_Style 5"/>
    <w:basedOn w:val="2"/>
    <w:next w:val="1"/>
    <w:unhideWhenUsed/>
    <w:qFormat/>
    <w:uiPriority w:val="39"/>
    <w:pPr>
      <w:widowControl/>
      <w:adjustRightInd/>
      <w:spacing w:before="480" w:line="276" w:lineRule="auto"/>
      <w:jc w:val="left"/>
      <w:textAlignment w:val="auto"/>
      <w:outlineLvl w:val="9"/>
    </w:pPr>
    <w:rPr>
      <w:rFonts w:ascii="Cambria" w:hAnsi="Cambria"/>
      <w:b/>
      <w:bCs/>
      <w:color w:val="365F91"/>
      <w:kern w:val="0"/>
      <w:sz w:val="28"/>
      <w:szCs w:val="28"/>
    </w:rPr>
  </w:style>
  <w:style w:type="paragraph" w:customStyle="1" w:styleId="70">
    <w:name w:val="_Style 12"/>
    <w:next w:val="1"/>
    <w:qFormat/>
    <w:uiPriority w:val="99"/>
    <w:pPr>
      <w:widowControl w:val="0"/>
      <w:numPr>
        <w:ilvl w:val="0"/>
        <w:numId w:val="2"/>
      </w:numPr>
      <w:jc w:val="both"/>
    </w:pPr>
    <w:rPr>
      <w:rFonts w:ascii="Times New Roman" w:hAnsi="Times New Roman" w:eastAsia="宋体" w:cs="Times New Roman"/>
      <w:kern w:val="2"/>
      <w:sz w:val="21"/>
      <w:lang w:val="en-US" w:eastAsia="zh-CN" w:bidi="ar-SA"/>
    </w:rPr>
  </w:style>
  <w:style w:type="table" w:customStyle="1" w:styleId="71">
    <w:name w:val="Table Normal"/>
    <w:unhideWhenUsed/>
    <w:qFormat/>
    <w:uiPriority w:val="2"/>
    <w:pPr>
      <w:widowControl w:val="0"/>
    </w:pPr>
    <w:rPr>
      <w:rFonts w:ascii="Times New Roman" w:hAnsi="Times New Roman" w:eastAsia="宋体" w:cs="Times New Roman"/>
      <w:sz w:val="22"/>
      <w:lang w:eastAsia="en-US"/>
    </w:rPr>
    <w:tblPr>
      <w:tblCellMar>
        <w:top w:w="0" w:type="dxa"/>
        <w:left w:w="0" w:type="dxa"/>
        <w:bottom w:w="0" w:type="dxa"/>
        <w:right w:w="0" w:type="dxa"/>
      </w:tblCellMar>
    </w:tblPr>
  </w:style>
  <w:style w:type="paragraph" w:customStyle="1" w:styleId="72">
    <w:name w:val="列出段落2"/>
    <w:basedOn w:val="1"/>
    <w:qFormat/>
    <w:uiPriority w:val="34"/>
    <w:pPr>
      <w:ind w:firstLine="420" w:firstLineChars="200"/>
    </w:pPr>
    <w:rPr>
      <w:rFonts w:ascii="Calibri" w:hAnsi="Calibri"/>
      <w:szCs w:val="22"/>
    </w:rPr>
  </w:style>
  <w:style w:type="paragraph" w:customStyle="1" w:styleId="73">
    <w:name w:val="List Paragraph1"/>
    <w:basedOn w:val="1"/>
    <w:qFormat/>
    <w:uiPriority w:val="34"/>
    <w:pPr>
      <w:ind w:firstLine="420" w:firstLineChars="200"/>
    </w:pPr>
    <w:rPr>
      <w:sz w:val="24"/>
      <w:szCs w:val="22"/>
    </w:rPr>
  </w:style>
  <w:style w:type="character" w:customStyle="1" w:styleId="74">
    <w:name w:val="正文缩进 Char"/>
    <w:link w:val="6"/>
    <w:qFormat/>
    <w:locked/>
    <w:uiPriority w:val="0"/>
    <w:rPr>
      <w:rFonts w:ascii="Times New Roman" w:hAnsi="Times New Roman" w:eastAsia="宋体" w:cs="Times New Roman"/>
      <w:szCs w:val="20"/>
    </w:rPr>
  </w:style>
  <w:style w:type="character" w:customStyle="1" w:styleId="75">
    <w:name w:val="标题 Char"/>
    <w:basedOn w:val="29"/>
    <w:link w:val="25"/>
    <w:qFormat/>
    <w:uiPriority w:val="10"/>
    <w:rPr>
      <w:rFonts w:ascii="Calibri Light" w:hAnsi="Calibri Light" w:eastAsia="宋体" w:cs="Times New Roman"/>
      <w:b/>
      <w:bCs/>
      <w:sz w:val="32"/>
      <w:szCs w:val="32"/>
    </w:rPr>
  </w:style>
  <w:style w:type="table" w:customStyle="1" w:styleId="76">
    <w:name w:val="网格型1"/>
    <w:basedOn w:val="2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7">
    <w:name w:val="纯文本 Char1"/>
    <w:semiHidden/>
    <w:qFormat/>
    <w:uiPriority w:val="99"/>
    <w:rPr>
      <w:rFonts w:ascii="宋体" w:hAnsi="Courier New" w:eastAsia="宋体" w:cs="Courier New"/>
      <w:szCs w:val="21"/>
    </w:rPr>
  </w:style>
  <w:style w:type="paragraph" w:customStyle="1" w:styleId="78">
    <w:name w:val="列出段落1"/>
    <w:basedOn w:val="1"/>
    <w:qFormat/>
    <w:uiPriority w:val="34"/>
    <w:pPr>
      <w:ind w:firstLine="420" w:firstLineChars="200"/>
    </w:pPr>
    <w:rPr>
      <w:rFonts w:ascii="Calibri" w:hAnsi="Calibri"/>
      <w:szCs w:val="22"/>
    </w:rPr>
  </w:style>
  <w:style w:type="paragraph" w:customStyle="1" w:styleId="79">
    <w:name w:val="标题1"/>
    <w:basedOn w:val="1"/>
    <w:next w:val="1"/>
    <w:qFormat/>
    <w:uiPriority w:val="10"/>
    <w:pPr>
      <w:spacing w:before="240" w:after="60"/>
      <w:jc w:val="center"/>
      <w:outlineLvl w:val="0"/>
    </w:pPr>
    <w:rPr>
      <w:rFonts w:ascii="Calibri Light" w:hAnsi="Calibri Light"/>
      <w:b/>
      <w:bCs/>
      <w:sz w:val="32"/>
      <w:szCs w:val="32"/>
    </w:rPr>
  </w:style>
  <w:style w:type="character" w:customStyle="1" w:styleId="80">
    <w:name w:val="标题 Char1"/>
    <w:qFormat/>
    <w:uiPriority w:val="10"/>
    <w:rPr>
      <w:rFonts w:ascii="Cambria" w:hAnsi="Cambria" w:eastAsia="宋体" w:cs="Times New Roman"/>
      <w:b/>
      <w:bCs/>
      <w:sz w:val="32"/>
      <w:szCs w:val="32"/>
    </w:rPr>
  </w:style>
  <w:style w:type="paragraph" w:customStyle="1" w:styleId="81">
    <w:name w:val="列出段落21"/>
    <w:basedOn w:val="1"/>
    <w:qFormat/>
    <w:uiPriority w:val="34"/>
    <w:pPr>
      <w:ind w:firstLine="420" w:firstLineChars="200"/>
    </w:pPr>
  </w:style>
  <w:style w:type="paragraph" w:customStyle="1" w:styleId="82">
    <w:name w:val="列出段落3"/>
    <w:basedOn w:val="1"/>
    <w:qFormat/>
    <w:uiPriority w:val="34"/>
    <w:pPr>
      <w:ind w:firstLine="420" w:firstLineChars="200"/>
    </w:pPr>
  </w:style>
  <w:style w:type="character" w:customStyle="1" w:styleId="83">
    <w:name w:val="纯文本 Char2"/>
    <w:qFormat/>
    <w:uiPriority w:val="0"/>
    <w:rPr>
      <w:rFonts w:ascii="宋体" w:hAnsi="Courier New" w:eastAsia="宋体"/>
      <w:szCs w:val="21"/>
    </w:rPr>
  </w:style>
  <w:style w:type="character" w:customStyle="1" w:styleId="84">
    <w:name w:val="font71"/>
    <w:qFormat/>
    <w:uiPriority w:val="0"/>
    <w:rPr>
      <w:rFonts w:hint="eastAsia" w:ascii="宋体" w:hAnsi="宋体" w:eastAsia="宋体" w:cs="宋体"/>
      <w:color w:val="000000"/>
      <w:sz w:val="22"/>
      <w:szCs w:val="22"/>
      <w:u w:val="none"/>
    </w:rPr>
  </w:style>
  <w:style w:type="character" w:customStyle="1" w:styleId="85">
    <w:name w:val="font161"/>
    <w:qFormat/>
    <w:uiPriority w:val="0"/>
    <w:rPr>
      <w:rFonts w:hint="default" w:ascii="Times New Roman" w:hAnsi="Times New Roman" w:cs="Times New Roman"/>
      <w:color w:val="000000"/>
      <w:sz w:val="22"/>
      <w:szCs w:val="22"/>
      <w:u w:val="none"/>
    </w:rPr>
  </w:style>
  <w:style w:type="character" w:customStyle="1" w:styleId="86">
    <w:name w:val="font111"/>
    <w:qFormat/>
    <w:uiPriority w:val="0"/>
    <w:rPr>
      <w:rFonts w:ascii="Calibri" w:hAnsi="Calibri" w:cs="Calibri"/>
      <w:color w:val="000000"/>
      <w:sz w:val="22"/>
      <w:szCs w:val="22"/>
      <w:u w:val="none"/>
    </w:rPr>
  </w:style>
  <w:style w:type="character" w:customStyle="1" w:styleId="87">
    <w:name w:val="font41"/>
    <w:qFormat/>
    <w:uiPriority w:val="0"/>
    <w:rPr>
      <w:rFonts w:hint="eastAsia" w:ascii="宋体" w:hAnsi="宋体" w:eastAsia="宋体" w:cs="宋体"/>
      <w:color w:val="000000"/>
      <w:sz w:val="22"/>
      <w:szCs w:val="22"/>
      <w:u w:val="none"/>
    </w:rPr>
  </w:style>
  <w:style w:type="character" w:customStyle="1" w:styleId="88">
    <w:name w:val="font13"/>
    <w:qFormat/>
    <w:uiPriority w:val="0"/>
    <w:rPr>
      <w:rFonts w:hint="default" w:ascii="Calibri" w:hAnsi="Calibri" w:cs="Calibri"/>
      <w:color w:val="000000"/>
      <w:sz w:val="22"/>
      <w:szCs w:val="22"/>
      <w:u w:val="none"/>
    </w:rPr>
  </w:style>
  <w:style w:type="character" w:customStyle="1" w:styleId="89">
    <w:name w:val="font101"/>
    <w:qFormat/>
    <w:uiPriority w:val="0"/>
    <w:rPr>
      <w:rFonts w:hint="default" w:ascii="Calibri" w:hAnsi="Calibri" w:cs="Calibri"/>
      <w:color w:val="000000"/>
      <w:sz w:val="22"/>
      <w:szCs w:val="22"/>
      <w:u w:val="none"/>
    </w:rPr>
  </w:style>
  <w:style w:type="character" w:customStyle="1" w:styleId="90">
    <w:name w:val="font01"/>
    <w:qFormat/>
    <w:uiPriority w:val="0"/>
    <w:rPr>
      <w:rFonts w:hint="default" w:ascii="Times New Roman" w:hAnsi="Times New Roman" w:cs="Times New Roman"/>
      <w:color w:val="000000"/>
      <w:sz w:val="22"/>
      <w:szCs w:val="22"/>
      <w:u w:val="none"/>
    </w:rPr>
  </w:style>
  <w:style w:type="character" w:customStyle="1" w:styleId="91">
    <w:name w:val="font91"/>
    <w:qFormat/>
    <w:uiPriority w:val="0"/>
    <w:rPr>
      <w:rFonts w:ascii="Arial" w:hAnsi="Arial" w:cs="Arial"/>
      <w:color w:val="000000"/>
      <w:sz w:val="22"/>
      <w:szCs w:val="22"/>
      <w:u w:val="none"/>
    </w:rPr>
  </w:style>
  <w:style w:type="character" w:customStyle="1" w:styleId="92">
    <w:name w:val="font61"/>
    <w:qFormat/>
    <w:uiPriority w:val="0"/>
    <w:rPr>
      <w:rFonts w:ascii="Calibri" w:hAnsi="Calibri" w:cs="Calibri"/>
      <w:color w:val="000000"/>
      <w:sz w:val="22"/>
      <w:szCs w:val="22"/>
      <w:u w:val="none"/>
    </w:rPr>
  </w:style>
  <w:style w:type="character" w:customStyle="1" w:styleId="93">
    <w:name w:val="font81"/>
    <w:qFormat/>
    <w:uiPriority w:val="0"/>
    <w:rPr>
      <w:rFonts w:ascii="微软雅黑" w:hAnsi="微软雅黑" w:eastAsia="微软雅黑" w:cs="微软雅黑"/>
      <w:color w:val="000000"/>
      <w:sz w:val="22"/>
      <w:szCs w:val="22"/>
      <w:u w:val="none"/>
    </w:rPr>
  </w:style>
  <w:style w:type="character" w:customStyle="1" w:styleId="94">
    <w:name w:val="font11"/>
    <w:qFormat/>
    <w:uiPriority w:val="0"/>
    <w:rPr>
      <w:rFonts w:hint="eastAsia" w:ascii="宋体" w:hAnsi="宋体" w:eastAsia="宋体" w:cs="宋体"/>
      <w:color w:val="000000"/>
      <w:sz w:val="22"/>
      <w:szCs w:val="22"/>
      <w:u w:val="none"/>
    </w:rPr>
  </w:style>
  <w:style w:type="character" w:customStyle="1" w:styleId="95">
    <w:name w:val="明显强调1"/>
    <w:qFormat/>
    <w:uiPriority w:val="21"/>
    <w:rPr>
      <w:b/>
      <w:bCs/>
      <w:i/>
      <w:iCs/>
      <w:color w:val="4F81BD"/>
    </w:rPr>
  </w:style>
  <w:style w:type="character" w:customStyle="1" w:styleId="96">
    <w:name w:val="不明显强调1"/>
    <w:qFormat/>
    <w:uiPriority w:val="19"/>
    <w:rPr>
      <w:i/>
      <w:iCs/>
      <w:color w:val="808080"/>
    </w:rPr>
  </w:style>
  <w:style w:type="character" w:customStyle="1" w:styleId="97">
    <w:name w:val="引用 Char"/>
    <w:link w:val="98"/>
    <w:qFormat/>
    <w:uiPriority w:val="29"/>
    <w:rPr>
      <w:i/>
      <w:iCs/>
      <w:color w:val="000000"/>
      <w:sz w:val="24"/>
      <w:szCs w:val="24"/>
    </w:rPr>
  </w:style>
  <w:style w:type="paragraph" w:styleId="98">
    <w:name w:val="Quote"/>
    <w:basedOn w:val="1"/>
    <w:next w:val="1"/>
    <w:link w:val="97"/>
    <w:qFormat/>
    <w:uiPriority w:val="29"/>
    <w:rPr>
      <w:rFonts w:asciiTheme="minorHAnsi" w:hAnsiTheme="minorHAnsi" w:eastAsiaTheme="minorEastAsia" w:cstheme="minorBidi"/>
      <w:i/>
      <w:iCs/>
      <w:color w:val="000000"/>
      <w:sz w:val="24"/>
    </w:rPr>
  </w:style>
  <w:style w:type="character" w:customStyle="1" w:styleId="99">
    <w:name w:val="副标题 Char"/>
    <w:link w:val="21"/>
    <w:qFormat/>
    <w:uiPriority w:val="0"/>
    <w:rPr>
      <w:rFonts w:ascii="Cambria" w:hAnsi="Cambria"/>
      <w:b/>
      <w:bCs/>
      <w:kern w:val="28"/>
      <w:sz w:val="32"/>
      <w:szCs w:val="32"/>
    </w:rPr>
  </w:style>
  <w:style w:type="character" w:customStyle="1" w:styleId="100">
    <w:name w:val="明显参考1"/>
    <w:qFormat/>
    <w:uiPriority w:val="32"/>
    <w:rPr>
      <w:b/>
      <w:bCs/>
      <w:smallCaps/>
      <w:color w:val="C0504D"/>
      <w:spacing w:val="5"/>
      <w:u w:val="single"/>
    </w:rPr>
  </w:style>
  <w:style w:type="character" w:customStyle="1" w:styleId="101">
    <w:name w:val="不明显参考1"/>
    <w:qFormat/>
    <w:uiPriority w:val="31"/>
    <w:rPr>
      <w:smallCaps/>
      <w:color w:val="C0504D"/>
      <w:u w:val="single"/>
    </w:rPr>
  </w:style>
  <w:style w:type="character" w:customStyle="1" w:styleId="102">
    <w:name w:val="副标题 Char1"/>
    <w:basedOn w:val="29"/>
    <w:qFormat/>
    <w:uiPriority w:val="11"/>
    <w:rPr>
      <w:rFonts w:eastAsia="宋体" w:asciiTheme="majorHAnsi" w:hAnsiTheme="majorHAnsi" w:cstheme="majorBidi"/>
      <w:b/>
      <w:bCs/>
      <w:kern w:val="28"/>
      <w:sz w:val="32"/>
      <w:szCs w:val="32"/>
    </w:rPr>
  </w:style>
  <w:style w:type="character" w:customStyle="1" w:styleId="103">
    <w:name w:val="引用 Char1"/>
    <w:basedOn w:val="29"/>
    <w:qFormat/>
    <w:uiPriority w:val="99"/>
    <w:rPr>
      <w:rFonts w:ascii="Times New Roman" w:hAnsi="Times New Roman" w:eastAsia="宋体" w:cs="Times New Roman"/>
      <w:i/>
      <w:iCs/>
      <w:color w:val="404040" w:themeColor="text1" w:themeTint="BF"/>
      <w:szCs w:val="24"/>
      <w14:textFill>
        <w14:solidFill>
          <w14:schemeClr w14:val="tx1">
            <w14:lumMod w14:val="75000"/>
            <w14:lumOff w14:val="25000"/>
          </w14:schemeClr>
        </w14:solidFill>
      </w14:textFill>
    </w:rPr>
  </w:style>
  <w:style w:type="paragraph" w:styleId="104">
    <w:name w:val="No Spacing"/>
    <w:qFormat/>
    <w:uiPriority w:val="1"/>
    <w:pPr>
      <w:widowControl w:val="0"/>
      <w:jc w:val="both"/>
    </w:pPr>
    <w:rPr>
      <w:rFonts w:ascii="Times New Roman" w:hAnsi="Times New Roman" w:eastAsia="宋体" w:cs="Times New Roman"/>
      <w:kern w:val="2"/>
      <w:sz w:val="24"/>
      <w:szCs w:val="24"/>
      <w:lang w:val="en-US" w:eastAsia="zh-CN" w:bidi="ar-SA"/>
    </w:rPr>
  </w:style>
  <w:style w:type="paragraph" w:customStyle="1" w:styleId="105">
    <w:name w:val="默认段落字体 Para Char"/>
    <w:basedOn w:val="1"/>
    <w:qFormat/>
    <w:uiPriority w:val="0"/>
    <w:rPr>
      <w:sz w:val="24"/>
    </w:rPr>
  </w:style>
  <w:style w:type="paragraph" w:customStyle="1" w:styleId="106">
    <w:name w:val="font5"/>
    <w:basedOn w:val="1"/>
    <w:qFormat/>
    <w:uiPriority w:val="0"/>
    <w:pPr>
      <w:widowControl/>
      <w:spacing w:before="100" w:beforeAutospacing="1" w:after="100" w:afterAutospacing="1"/>
      <w:jc w:val="left"/>
    </w:pPr>
    <w:rPr>
      <w:b/>
      <w:bCs/>
      <w:kern w:val="0"/>
      <w:sz w:val="20"/>
      <w:szCs w:val="20"/>
    </w:rPr>
  </w:style>
  <w:style w:type="paragraph" w:customStyle="1" w:styleId="107">
    <w:name w:val="font6"/>
    <w:basedOn w:val="1"/>
    <w:qFormat/>
    <w:uiPriority w:val="0"/>
    <w:pPr>
      <w:widowControl/>
      <w:spacing w:before="100" w:beforeAutospacing="1" w:after="100" w:afterAutospacing="1"/>
      <w:jc w:val="left"/>
    </w:pPr>
    <w:rPr>
      <w:kern w:val="0"/>
      <w:sz w:val="22"/>
      <w:szCs w:val="22"/>
    </w:rPr>
  </w:style>
  <w:style w:type="paragraph" w:customStyle="1" w:styleId="108">
    <w:name w:val="font7"/>
    <w:basedOn w:val="1"/>
    <w:uiPriority w:val="0"/>
    <w:pPr>
      <w:widowControl/>
      <w:spacing w:before="100" w:beforeAutospacing="1" w:after="100" w:afterAutospacing="1"/>
      <w:jc w:val="left"/>
    </w:pPr>
    <w:rPr>
      <w:kern w:val="0"/>
      <w:sz w:val="20"/>
      <w:szCs w:val="20"/>
    </w:rPr>
  </w:style>
  <w:style w:type="paragraph" w:customStyle="1" w:styleId="109">
    <w:name w:val="xl6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0">
    <w:name w:val="xl6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1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3">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4">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6">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17">
    <w:name w:val="xl73"/>
    <w:basedOn w:val="1"/>
    <w:qFormat/>
    <w:uiPriority w:val="0"/>
    <w:pPr>
      <w:widowControl/>
      <w:spacing w:before="100" w:beforeAutospacing="1" w:after="100" w:afterAutospacing="1"/>
      <w:jc w:val="left"/>
    </w:pPr>
    <w:rPr>
      <w:rFonts w:ascii="宋体" w:hAnsi="宋体" w:cs="宋体"/>
      <w:kern w:val="0"/>
      <w:sz w:val="56"/>
      <w:szCs w:val="56"/>
    </w:rPr>
  </w:style>
  <w:style w:type="paragraph" w:customStyle="1" w:styleId="118">
    <w:name w:val="xl74"/>
    <w:basedOn w:val="1"/>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19">
    <w:name w:val="xl75"/>
    <w:basedOn w:val="1"/>
    <w:qFormat/>
    <w:uiPriority w:val="0"/>
    <w:pPr>
      <w:widowControl/>
      <w:spacing w:before="100" w:beforeAutospacing="1" w:after="100" w:afterAutospacing="1"/>
      <w:jc w:val="center"/>
    </w:pPr>
    <w:rPr>
      <w:rFonts w:ascii="宋体" w:hAnsi="宋体" w:cs="宋体"/>
      <w:kern w:val="0"/>
      <w:sz w:val="28"/>
      <w:szCs w:val="28"/>
    </w:rPr>
  </w:style>
  <w:style w:type="paragraph" w:customStyle="1" w:styleId="120">
    <w:name w:val="xl76"/>
    <w:basedOn w:val="1"/>
    <w:uiPriority w:val="0"/>
    <w:pPr>
      <w:widowControl/>
      <w:spacing w:before="100" w:beforeAutospacing="1" w:after="100" w:afterAutospacing="1"/>
      <w:jc w:val="left"/>
      <w:textAlignment w:val="bottom"/>
    </w:pPr>
    <w:rPr>
      <w:rFonts w:ascii="宋体" w:hAnsi="宋体" w:cs="宋体"/>
      <w:kern w:val="0"/>
      <w:sz w:val="28"/>
      <w:szCs w:val="28"/>
    </w:rPr>
  </w:style>
  <w:style w:type="paragraph" w:customStyle="1" w:styleId="121">
    <w:name w:val="xl77"/>
    <w:basedOn w:val="1"/>
    <w:qFormat/>
    <w:uiPriority w:val="0"/>
    <w:pPr>
      <w:widowControl/>
      <w:spacing w:before="100" w:beforeAutospacing="1" w:after="100" w:afterAutospacing="1"/>
      <w:jc w:val="center"/>
    </w:pPr>
    <w:rPr>
      <w:rFonts w:ascii="宋体" w:hAnsi="宋体" w:cs="宋体"/>
      <w:kern w:val="0"/>
      <w:sz w:val="24"/>
    </w:rPr>
  </w:style>
  <w:style w:type="paragraph" w:customStyle="1" w:styleId="122">
    <w:name w:val="xl78"/>
    <w:basedOn w:val="1"/>
    <w:qFormat/>
    <w:uiPriority w:val="0"/>
    <w:pPr>
      <w:widowControl/>
      <w:spacing w:before="100" w:beforeAutospacing="1" w:after="100" w:afterAutospacing="1"/>
      <w:jc w:val="left"/>
      <w:textAlignment w:val="bottom"/>
    </w:pPr>
    <w:rPr>
      <w:rFonts w:ascii="宋体" w:hAnsi="宋体" w:cs="宋体"/>
      <w:color w:val="3366FF"/>
      <w:kern w:val="0"/>
      <w:sz w:val="20"/>
      <w:szCs w:val="20"/>
    </w:rPr>
  </w:style>
  <w:style w:type="paragraph" w:customStyle="1" w:styleId="123">
    <w:name w:val="xl79"/>
    <w:basedOn w:val="1"/>
    <w:uiPriority w:val="0"/>
    <w:pPr>
      <w:widowControl/>
      <w:spacing w:before="100" w:beforeAutospacing="1" w:after="100" w:afterAutospacing="1"/>
      <w:jc w:val="center"/>
    </w:pPr>
    <w:rPr>
      <w:rFonts w:ascii="宋体" w:hAnsi="宋体" w:cs="宋体"/>
      <w:color w:val="FF0000"/>
      <w:kern w:val="0"/>
      <w:sz w:val="24"/>
    </w:rPr>
  </w:style>
  <w:style w:type="paragraph" w:customStyle="1" w:styleId="124">
    <w:name w:val="xl80"/>
    <w:basedOn w:val="1"/>
    <w:uiPriority w:val="0"/>
    <w:pPr>
      <w:widowControl/>
      <w:shd w:val="clear" w:color="000000" w:fill="FFFF00"/>
      <w:spacing w:before="100" w:beforeAutospacing="1" w:after="100" w:afterAutospacing="1"/>
      <w:jc w:val="center"/>
    </w:pPr>
    <w:rPr>
      <w:rFonts w:ascii="宋体" w:hAnsi="宋体" w:cs="宋体"/>
      <w:kern w:val="0"/>
      <w:sz w:val="24"/>
    </w:rPr>
  </w:style>
  <w:style w:type="paragraph" w:customStyle="1" w:styleId="125">
    <w:name w:val="xl81"/>
    <w:basedOn w:val="1"/>
    <w:qFormat/>
    <w:uiPriority w:val="0"/>
    <w:pPr>
      <w:widowControl/>
      <w:spacing w:before="100" w:beforeAutospacing="1" w:after="100" w:afterAutospacing="1"/>
      <w:jc w:val="center"/>
    </w:pPr>
    <w:rPr>
      <w:rFonts w:ascii="宋体" w:hAnsi="宋体" w:cs="宋体"/>
      <w:color w:val="FF0000"/>
      <w:kern w:val="0"/>
      <w:sz w:val="24"/>
    </w:rPr>
  </w:style>
  <w:style w:type="paragraph" w:customStyle="1" w:styleId="126">
    <w:name w:val="xl8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7">
    <w:name w:val="xl8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28">
    <w:name w:val="xl8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9">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0"/>
      <w:szCs w:val="20"/>
    </w:rPr>
  </w:style>
  <w:style w:type="paragraph" w:customStyle="1" w:styleId="130">
    <w:name w:val="xl87"/>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0"/>
      <w:szCs w:val="20"/>
    </w:rPr>
  </w:style>
  <w:style w:type="paragraph" w:customStyle="1" w:styleId="131">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textAlignment w:val="bottom"/>
    </w:pPr>
    <w:rPr>
      <w:rFonts w:ascii="宋体" w:hAnsi="宋体" w:cs="宋体"/>
      <w:b/>
      <w:bCs/>
      <w:kern w:val="0"/>
      <w:sz w:val="20"/>
      <w:szCs w:val="20"/>
    </w:rPr>
  </w:style>
  <w:style w:type="paragraph" w:customStyle="1" w:styleId="132">
    <w:name w:val="xl89"/>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textAlignment w:val="bottom"/>
    </w:pPr>
    <w:rPr>
      <w:rFonts w:ascii="宋体" w:hAnsi="宋体" w:cs="宋体"/>
      <w:b/>
      <w:bCs/>
      <w:kern w:val="0"/>
      <w:sz w:val="20"/>
      <w:szCs w:val="20"/>
    </w:rPr>
  </w:style>
  <w:style w:type="paragraph" w:customStyle="1" w:styleId="133">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4"/>
    </w:rPr>
  </w:style>
  <w:style w:type="paragraph" w:customStyle="1" w:styleId="134">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20"/>
      <w:szCs w:val="20"/>
    </w:rPr>
  </w:style>
  <w:style w:type="paragraph" w:customStyle="1" w:styleId="135">
    <w:name w:val="xl92"/>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kern w:val="0"/>
      <w:sz w:val="20"/>
      <w:szCs w:val="20"/>
    </w:rPr>
  </w:style>
  <w:style w:type="paragraph" w:customStyle="1" w:styleId="136">
    <w:name w:val="xl93"/>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20"/>
      <w:szCs w:val="20"/>
    </w:rPr>
  </w:style>
  <w:style w:type="paragraph" w:customStyle="1" w:styleId="137">
    <w:name w:val="xl9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38">
    <w:name w:val="xl9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13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40">
    <w:name w:val="xl9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41">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2">
    <w:name w:val="xl9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43">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144">
    <w:name w:val="xl10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45">
    <w:name w:val="xl10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2"/>
      <w:szCs w:val="22"/>
    </w:rPr>
  </w:style>
  <w:style w:type="paragraph" w:customStyle="1" w:styleId="146">
    <w:name w:val="xl103"/>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2"/>
      <w:szCs w:val="22"/>
    </w:rPr>
  </w:style>
  <w:style w:type="paragraph" w:customStyle="1" w:styleId="147">
    <w:name w:val="xl10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148">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149">
    <w:name w:val="xl10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2"/>
      <w:szCs w:val="22"/>
    </w:rPr>
  </w:style>
  <w:style w:type="paragraph" w:customStyle="1" w:styleId="150">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5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52">
    <w:name w:val="xl10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53">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154">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155">
    <w:name w:val="xl11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2"/>
      <w:szCs w:val="22"/>
    </w:rPr>
  </w:style>
  <w:style w:type="paragraph" w:customStyle="1" w:styleId="156">
    <w:name w:val="xl113"/>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16"/>
      <w:szCs w:val="16"/>
    </w:rPr>
  </w:style>
  <w:style w:type="paragraph" w:customStyle="1" w:styleId="157">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58">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159">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pPr>
    <w:rPr>
      <w:rFonts w:ascii="宋体" w:hAnsi="宋体" w:cs="宋体"/>
      <w:b/>
      <w:bCs/>
      <w:kern w:val="0"/>
      <w:sz w:val="24"/>
    </w:rPr>
  </w:style>
  <w:style w:type="paragraph" w:customStyle="1" w:styleId="160">
    <w:name w:val="xl117"/>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4"/>
    </w:rPr>
  </w:style>
  <w:style w:type="paragraph" w:customStyle="1" w:styleId="161">
    <w:name w:val="xl118"/>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0"/>
      <w:szCs w:val="20"/>
    </w:rPr>
  </w:style>
  <w:style w:type="paragraph" w:customStyle="1" w:styleId="162">
    <w:name w:val="xl119"/>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3">
    <w:name w:val="xl120"/>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pPr>
    <w:rPr>
      <w:rFonts w:ascii="宋体" w:hAnsi="宋体" w:cs="宋体"/>
      <w:b/>
      <w:bCs/>
      <w:kern w:val="0"/>
      <w:sz w:val="16"/>
      <w:szCs w:val="16"/>
    </w:rPr>
  </w:style>
  <w:style w:type="paragraph" w:customStyle="1" w:styleId="164">
    <w:name w:val="xl12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165">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2"/>
      <w:szCs w:val="22"/>
    </w:rPr>
  </w:style>
  <w:style w:type="paragraph" w:customStyle="1" w:styleId="166">
    <w:name w:val="xl123"/>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4"/>
    </w:rPr>
  </w:style>
  <w:style w:type="paragraph" w:customStyle="1" w:styleId="167">
    <w:name w:val="xl124"/>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168">
    <w:name w:val="xl125"/>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rPr>
  </w:style>
  <w:style w:type="paragraph" w:customStyle="1" w:styleId="169">
    <w:name w:val="xl126"/>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2"/>
      <w:szCs w:val="22"/>
    </w:rPr>
  </w:style>
  <w:style w:type="paragraph" w:customStyle="1" w:styleId="170">
    <w:name w:val="xl127"/>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0"/>
      <w:szCs w:val="20"/>
    </w:rPr>
  </w:style>
  <w:style w:type="paragraph" w:customStyle="1" w:styleId="171">
    <w:name w:val="xl128"/>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20"/>
      <w:szCs w:val="20"/>
    </w:rPr>
  </w:style>
  <w:style w:type="paragraph" w:customStyle="1" w:styleId="172">
    <w:name w:val="xl129"/>
    <w:basedOn w:val="1"/>
    <w:qFormat/>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20"/>
      <w:szCs w:val="20"/>
    </w:rPr>
  </w:style>
  <w:style w:type="paragraph" w:customStyle="1" w:styleId="173">
    <w:name w:val="xl130"/>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16"/>
      <w:szCs w:val="16"/>
    </w:rPr>
  </w:style>
  <w:style w:type="paragraph" w:customStyle="1" w:styleId="174">
    <w:name w:val="xl131"/>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pPr>
    <w:rPr>
      <w:rFonts w:ascii="宋体" w:hAnsi="宋体" w:cs="宋体"/>
      <w:kern w:val="0"/>
      <w:sz w:val="16"/>
      <w:szCs w:val="16"/>
    </w:rPr>
  </w:style>
  <w:style w:type="paragraph" w:customStyle="1" w:styleId="175">
    <w:name w:val="xl132"/>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pPr>
    <w:rPr>
      <w:rFonts w:ascii="宋体" w:hAnsi="宋体" w:cs="宋体"/>
      <w:kern w:val="0"/>
      <w:sz w:val="20"/>
      <w:szCs w:val="20"/>
    </w:rPr>
  </w:style>
  <w:style w:type="paragraph" w:customStyle="1" w:styleId="176">
    <w:name w:val="xl133"/>
    <w:basedOn w:val="1"/>
    <w:uiPriority w:val="0"/>
    <w:pPr>
      <w:widowControl/>
      <w:spacing w:before="100" w:beforeAutospacing="1" w:after="100" w:afterAutospacing="1"/>
      <w:jc w:val="center"/>
    </w:pPr>
    <w:rPr>
      <w:rFonts w:ascii="Courier New" w:hAnsi="Courier New" w:cs="Courier New"/>
      <w:b/>
      <w:bCs/>
      <w:kern w:val="0"/>
      <w:sz w:val="28"/>
      <w:szCs w:val="28"/>
    </w:rPr>
  </w:style>
  <w:style w:type="paragraph" w:customStyle="1" w:styleId="177">
    <w:name w:val="xl134"/>
    <w:basedOn w:val="1"/>
    <w:qFormat/>
    <w:uiPriority w:val="0"/>
    <w:pPr>
      <w:widowControl/>
      <w:spacing w:before="100" w:beforeAutospacing="1" w:after="100" w:afterAutospacing="1"/>
      <w:jc w:val="center"/>
    </w:pPr>
    <w:rPr>
      <w:rFonts w:ascii="华文行楷" w:hAnsi="宋体" w:eastAsia="华文行楷" w:cs="宋体"/>
      <w:b/>
      <w:bCs/>
      <w:kern w:val="0"/>
      <w:sz w:val="28"/>
      <w:szCs w:val="28"/>
    </w:rPr>
  </w:style>
  <w:style w:type="paragraph" w:customStyle="1" w:styleId="178">
    <w:name w:val="xl135"/>
    <w:basedOn w:val="1"/>
    <w:uiPriority w:val="0"/>
    <w:pPr>
      <w:widowControl/>
      <w:spacing w:before="100" w:beforeAutospacing="1" w:after="100" w:afterAutospacing="1"/>
      <w:jc w:val="center"/>
    </w:pPr>
    <w:rPr>
      <w:rFonts w:ascii="华文行楷" w:hAnsi="宋体" w:eastAsia="华文行楷" w:cs="宋体"/>
      <w:b/>
      <w:bCs/>
      <w:kern w:val="0"/>
      <w:sz w:val="28"/>
      <w:szCs w:val="28"/>
    </w:rPr>
  </w:style>
  <w:style w:type="paragraph" w:customStyle="1" w:styleId="179">
    <w:name w:val="xl136"/>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0">
    <w:name w:val="xl13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1">
    <w:name w:val="xl138"/>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2">
    <w:name w:val="xl139"/>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3">
    <w:name w:val="xl140"/>
    <w:basedOn w:val="1"/>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2"/>
      <w:szCs w:val="22"/>
    </w:rPr>
  </w:style>
  <w:style w:type="paragraph" w:customStyle="1" w:styleId="184">
    <w:name w:val="xl141"/>
    <w:basedOn w:val="1"/>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2"/>
      <w:szCs w:val="22"/>
    </w:rPr>
  </w:style>
  <w:style w:type="paragraph" w:customStyle="1" w:styleId="185">
    <w:name w:val="xl142"/>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textAlignment w:val="bottom"/>
    </w:pPr>
    <w:rPr>
      <w:rFonts w:ascii="宋体" w:hAnsi="宋体" w:cs="宋体"/>
      <w:kern w:val="0"/>
      <w:sz w:val="20"/>
      <w:szCs w:val="20"/>
    </w:rPr>
  </w:style>
  <w:style w:type="paragraph" w:customStyle="1" w:styleId="186">
    <w:name w:val="xl143"/>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b/>
      <w:bCs/>
      <w:kern w:val="0"/>
      <w:sz w:val="20"/>
      <w:szCs w:val="20"/>
    </w:rPr>
  </w:style>
  <w:style w:type="paragraph" w:customStyle="1" w:styleId="187">
    <w:name w:val="xl144"/>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left"/>
      <w:textAlignment w:val="bottom"/>
    </w:pPr>
    <w:rPr>
      <w:rFonts w:ascii="宋体" w:hAnsi="宋体" w:cs="宋体"/>
      <w:kern w:val="0"/>
      <w:sz w:val="20"/>
      <w:szCs w:val="20"/>
    </w:rPr>
  </w:style>
  <w:style w:type="paragraph" w:customStyle="1" w:styleId="188">
    <w:name w:val="xl145"/>
    <w:basedOn w:val="1"/>
    <w:uiPriority w:val="0"/>
    <w:pPr>
      <w:widowControl/>
      <w:pBdr>
        <w:top w:val="single" w:color="auto" w:sz="4" w:space="0"/>
        <w:left w:val="single" w:color="auto" w:sz="4" w:space="0"/>
        <w:bottom w:val="single" w:color="auto" w:sz="4" w:space="0"/>
        <w:right w:val="single" w:color="auto" w:sz="4" w:space="0"/>
      </w:pBdr>
      <w:shd w:val="clear" w:color="000000" w:fill="676895"/>
      <w:spacing w:before="100" w:beforeAutospacing="1" w:after="100" w:afterAutospacing="1"/>
      <w:jc w:val="center"/>
    </w:pPr>
    <w:rPr>
      <w:rFonts w:ascii="宋体" w:hAnsi="宋体" w:cs="宋体"/>
      <w:kern w:val="0"/>
      <w:sz w:val="20"/>
      <w:szCs w:val="20"/>
    </w:rPr>
  </w:style>
  <w:style w:type="paragraph" w:customStyle="1" w:styleId="189">
    <w:name w:val="用户正文1"/>
    <w:uiPriority w:val="0"/>
    <w:pPr>
      <w:tabs>
        <w:tab w:val="left" w:pos="3885"/>
      </w:tabs>
      <w:spacing w:line="360" w:lineRule="auto"/>
      <w:jc w:val="both"/>
      <w:textAlignment w:val="center"/>
    </w:pPr>
    <w:rPr>
      <w:rFonts w:ascii="Times New Roman" w:hAnsi="Times New Roman" w:eastAsia="宋体"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61</Pages>
  <Words>4529</Words>
  <Characters>4818</Characters>
  <Lines>262</Lines>
  <Paragraphs>73</Paragraphs>
  <TotalTime>3</TotalTime>
  <ScaleCrop>false</ScaleCrop>
  <LinksUpToDate>false</LinksUpToDate>
  <CharactersWithSpaces>4877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2021-04-23T08:11:00Z</dcterms:created>
  <dc:creator>宋启(songqia)</dc:creator>
  <cp:lastModifiedBy>荼蘼</cp:lastModifiedBy>
  <dcterms:modified xsi:type="dcterms:W3CDTF">2026-04-14T02:56:41Z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eyJoZGlkIjoiYmRhYTU2YjQxY2UzZjBkZGJjNWY3NTNhZDIyYzdjMDIiLCJ1c2VySWQiOiI0MDQ4NjcwMjEifQ==</vt:lpwstr>
  </property>
  <property fmtid="{D5CDD505-2E9C-101B-9397-08002B2CF9AE}" pid="4" name="ICV">
    <vt:lpwstr>7836FD968F314B20AFDCDE0432D90F78_13</vt:lpwstr>
  </property>
</Properties>
</file>