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4CE0A">
      <w:pPr>
        <w:spacing w:line="300" w:lineRule="auto"/>
        <w:rPr>
          <w:rFonts w:hint="eastAsia" w:hAnsi="宋体"/>
          <w:b/>
          <w:bCs/>
          <w:sz w:val="22"/>
        </w:rPr>
      </w:pPr>
      <w:bookmarkStart w:id="0" w:name="_Toc252771972"/>
      <w:bookmarkStart w:id="1" w:name="_Toc308178332"/>
      <w:bookmarkStart w:id="2" w:name="_Toc382577320"/>
      <w:bookmarkStart w:id="3" w:name="_Toc329683718"/>
      <w:bookmarkStart w:id="4" w:name="_Toc230512926"/>
      <w:bookmarkStart w:id="5" w:name="_Toc254955010"/>
    </w:p>
    <w:bookmarkEnd w:id="0"/>
    <w:bookmarkEnd w:id="1"/>
    <w:bookmarkEnd w:id="2"/>
    <w:bookmarkEnd w:id="3"/>
    <w:bookmarkEnd w:id="4"/>
    <w:bookmarkEnd w:id="5"/>
    <w:p w14:paraId="66B18B66">
      <w:pPr>
        <w:spacing w:line="300" w:lineRule="auto"/>
        <w:jc w:val="center"/>
        <w:rPr>
          <w:rFonts w:hint="eastAsia" w:ascii="宋体" w:hAnsi="宋体"/>
          <w:b/>
          <w:bCs/>
          <w:sz w:val="32"/>
          <w:szCs w:val="32"/>
        </w:rPr>
      </w:pPr>
      <w:r>
        <w:rPr>
          <w:rFonts w:hint="eastAsia" w:ascii="宋体" w:hAnsi="宋体"/>
          <w:b/>
          <w:bCs/>
          <w:sz w:val="32"/>
          <w:szCs w:val="32"/>
        </w:rPr>
        <w:t>评分细则</w:t>
      </w:r>
    </w:p>
    <w:p w14:paraId="7787DE67">
      <w:pPr>
        <w:spacing w:line="300" w:lineRule="auto"/>
        <w:rPr>
          <w:rFonts w:hint="eastAsia" w:ascii="宋体" w:hAnsi="宋体"/>
          <w:sz w:val="22"/>
        </w:rPr>
      </w:pPr>
    </w:p>
    <w:p w14:paraId="55684E6E">
      <w:pPr>
        <w:spacing w:line="300" w:lineRule="auto"/>
        <w:rPr>
          <w:rFonts w:hint="eastAsia" w:ascii="宋体" w:hAnsi="宋体"/>
          <w:sz w:val="22"/>
        </w:rPr>
      </w:pPr>
    </w:p>
    <w:p w14:paraId="640241B4">
      <w:pPr>
        <w:spacing w:line="300" w:lineRule="auto"/>
        <w:rPr>
          <w:rFonts w:hint="eastAsia" w:ascii="宋体" w:hAnsi="宋体"/>
          <w:b/>
          <w:sz w:val="22"/>
        </w:rPr>
      </w:pPr>
      <w:r>
        <w:rPr>
          <w:rFonts w:hint="eastAsia" w:ascii="宋体" w:hAnsi="宋体"/>
          <w:sz w:val="22"/>
        </w:rPr>
        <w:t>1、本项目的评标办法采用：</w:t>
      </w:r>
      <w:r>
        <w:rPr>
          <w:rFonts w:hint="eastAsia" w:ascii="宋体" w:hAnsi="宋体"/>
          <w:b/>
          <w:bCs/>
          <w:sz w:val="22"/>
        </w:rPr>
        <w:t>综合评分法</w:t>
      </w:r>
      <w:r>
        <w:rPr>
          <w:rFonts w:hint="eastAsia" w:ascii="宋体" w:hAnsi="宋体"/>
          <w:b/>
          <w:sz w:val="22"/>
        </w:rPr>
        <w:t>。</w:t>
      </w:r>
    </w:p>
    <w:p w14:paraId="5B9C058B">
      <w:pPr>
        <w:spacing w:line="300" w:lineRule="auto"/>
        <w:rPr>
          <w:sz w:val="22"/>
        </w:rPr>
      </w:pPr>
      <w:r>
        <w:rPr>
          <w:rFonts w:hint="eastAsia"/>
          <w:sz w:val="22"/>
        </w:rPr>
        <w:t>2、</w:t>
      </w:r>
      <w:r>
        <w:rPr>
          <w:sz w:val="22"/>
        </w:rPr>
        <w:t>中标人数量</w:t>
      </w:r>
      <w:r>
        <w:rPr>
          <w:rFonts w:hint="eastAsia"/>
          <w:sz w:val="22"/>
        </w:rPr>
        <w:t>：1家；候选</w:t>
      </w:r>
      <w:r>
        <w:rPr>
          <w:sz w:val="22"/>
        </w:rPr>
        <w:t>中标人数量：</w:t>
      </w:r>
      <w:r>
        <w:rPr>
          <w:rFonts w:hint="eastAsia"/>
          <w:sz w:val="22"/>
        </w:rPr>
        <w:t>3</w:t>
      </w:r>
      <w:r>
        <w:rPr>
          <w:sz w:val="22"/>
        </w:rPr>
        <w:t>家</w:t>
      </w:r>
      <w:r>
        <w:rPr>
          <w:rFonts w:hint="eastAsia"/>
          <w:sz w:val="22"/>
        </w:rPr>
        <w:t>或3家以上</w:t>
      </w:r>
      <w:r>
        <w:rPr>
          <w:sz w:val="22"/>
        </w:rPr>
        <w:t>。</w:t>
      </w:r>
    </w:p>
    <w:p w14:paraId="406A6F11">
      <w:pPr>
        <w:spacing w:line="300" w:lineRule="auto"/>
        <w:rPr>
          <w:sz w:val="22"/>
        </w:rPr>
      </w:pPr>
      <w:r>
        <w:rPr>
          <w:rFonts w:hint="eastAsia"/>
          <w:sz w:val="22"/>
        </w:rPr>
        <w:t>3、评标时，评标委员会各成员应当独立对每个通过资格性审查和符合性审查且报价不超过预算控制金额的投标人的投标文件进行评价，并汇总每个投标人每项评分因素的评分、评标委员会各成员对每个投标人评分的和，取算术平均值确定每个投标人的评审总得分。</w:t>
      </w:r>
    </w:p>
    <w:p w14:paraId="7DF445F8">
      <w:pPr>
        <w:spacing w:line="300" w:lineRule="auto"/>
        <w:rPr>
          <w:sz w:val="22"/>
        </w:rPr>
      </w:pPr>
      <w:r>
        <w:rPr>
          <w:sz w:val="22"/>
        </w:rPr>
        <w:t>4</w:t>
      </w:r>
      <w:r>
        <w:rPr>
          <w:rFonts w:hint="eastAsia"/>
          <w:sz w:val="22"/>
        </w:rPr>
        <w:t>、评审统一按照下列公式计算：</w:t>
      </w:r>
    </w:p>
    <w:p w14:paraId="3FB36874">
      <w:pPr>
        <w:spacing w:line="300" w:lineRule="auto"/>
        <w:ind w:firstLine="440" w:firstLineChars="200"/>
        <w:rPr>
          <w:sz w:val="22"/>
        </w:rPr>
      </w:pPr>
      <w:r>
        <w:rPr>
          <w:rFonts w:hint="eastAsia"/>
          <w:sz w:val="22"/>
        </w:rPr>
        <w:t xml:space="preserve">（1）基准价：为所有投标报价最低价。 </w:t>
      </w:r>
    </w:p>
    <w:p w14:paraId="1ADF6DBA">
      <w:pPr>
        <w:spacing w:line="300" w:lineRule="auto"/>
        <w:ind w:firstLine="440" w:firstLineChars="200"/>
        <w:rPr>
          <w:sz w:val="22"/>
        </w:rPr>
      </w:pPr>
      <w:r>
        <w:rPr>
          <w:rFonts w:hint="eastAsia"/>
          <w:sz w:val="22"/>
        </w:rPr>
        <w:t>（2）投标报价得分：</w:t>
      </w:r>
    </w:p>
    <w:p w14:paraId="285ADED3">
      <w:pPr>
        <w:spacing w:line="300" w:lineRule="auto"/>
        <w:ind w:firstLine="440" w:firstLineChars="200"/>
        <w:rPr>
          <w:sz w:val="22"/>
        </w:rPr>
      </w:pPr>
      <w:r>
        <w:rPr>
          <w:rFonts w:hint="eastAsia"/>
          <w:sz w:val="22"/>
        </w:rPr>
        <w:t xml:space="preserve">投标报价部分=(评标基准价／投标报价)×100×50% </w:t>
      </w:r>
    </w:p>
    <w:p w14:paraId="23510917">
      <w:pPr>
        <w:spacing w:line="300" w:lineRule="auto"/>
        <w:ind w:firstLine="440" w:firstLineChars="200"/>
        <w:rPr>
          <w:sz w:val="22"/>
        </w:rPr>
      </w:pPr>
      <w:r>
        <w:rPr>
          <w:rFonts w:hint="eastAsia"/>
          <w:sz w:val="22"/>
        </w:rPr>
        <w:t xml:space="preserve">计算分数时四舍五入取小数点后两位，当价格分＜0时，取0。 </w:t>
      </w:r>
    </w:p>
    <w:p w14:paraId="07BAD1F4">
      <w:pPr>
        <w:spacing w:line="300" w:lineRule="auto"/>
        <w:ind w:firstLine="440" w:firstLineChars="200"/>
        <w:rPr>
          <w:sz w:val="22"/>
        </w:rPr>
      </w:pPr>
      <w:r>
        <w:rPr>
          <w:rFonts w:hint="eastAsia"/>
          <w:sz w:val="22"/>
        </w:rPr>
        <w:t>投标人报价不得低于成本价报价。若报价明显偏低，投标人须对报价情况作出详细解释并须得到评标专家委员会认可。</w:t>
      </w:r>
    </w:p>
    <w:p w14:paraId="6A2C6290">
      <w:pPr>
        <w:spacing w:line="300" w:lineRule="auto"/>
        <w:ind w:firstLine="440" w:firstLineChars="200"/>
        <w:rPr>
          <w:sz w:val="22"/>
        </w:rPr>
      </w:pPr>
      <w:r>
        <w:rPr>
          <w:rFonts w:hint="eastAsia"/>
          <w:sz w:val="22"/>
        </w:rPr>
        <w:t>评标过程中，不得去掉报价中的最高报价和最低报价。</w:t>
      </w:r>
    </w:p>
    <w:p w14:paraId="76E6B5B4">
      <w:pPr>
        <w:spacing w:line="300" w:lineRule="auto"/>
        <w:rPr>
          <w:b/>
          <w:bCs/>
          <w:sz w:val="22"/>
        </w:rPr>
      </w:pPr>
      <w:r>
        <w:rPr>
          <w:rFonts w:hint="eastAsia"/>
          <w:sz w:val="22"/>
        </w:rPr>
        <w:t>5、候选中标人按评审后得分由高到低顺序排列；得分相同的，按投标报价由低到高顺序排列；得分且投标报价相同的，按技术指标或服务方案优劣顺序排列；得分且投标报价相同的且技术指标或服务方案优劣相同的，</w:t>
      </w:r>
      <w:r>
        <w:rPr>
          <w:bCs/>
          <w:sz w:val="22"/>
        </w:rPr>
        <w:t>采取随机抽取方式确定</w:t>
      </w:r>
      <w:r>
        <w:rPr>
          <w:rFonts w:hint="eastAsia"/>
          <w:bCs/>
          <w:sz w:val="22"/>
        </w:rPr>
        <w:t>候选</w:t>
      </w:r>
      <w:r>
        <w:rPr>
          <w:bCs/>
          <w:sz w:val="22"/>
        </w:rPr>
        <w:t>中标人推荐资格</w:t>
      </w:r>
      <w:r>
        <w:rPr>
          <w:rFonts w:hint="eastAsia"/>
          <w:bCs/>
          <w:sz w:val="22"/>
        </w:rPr>
        <w:t>。</w:t>
      </w:r>
    </w:p>
    <w:p w14:paraId="3DBE8657">
      <w:pPr>
        <w:spacing w:line="300" w:lineRule="auto"/>
        <w:rPr>
          <w:sz w:val="22"/>
        </w:rPr>
      </w:pPr>
      <w:r>
        <w:rPr>
          <w:rFonts w:hint="eastAsia"/>
          <w:sz w:val="22"/>
        </w:rPr>
        <w:t>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D7E99BF">
      <w:pPr>
        <w:spacing w:line="300" w:lineRule="auto"/>
        <w:rPr>
          <w:sz w:val="22"/>
        </w:rPr>
      </w:pPr>
      <w:r>
        <w:rPr>
          <w:sz w:val="22"/>
        </w:rPr>
        <w:t>7</w:t>
      </w:r>
      <w:r>
        <w:rPr>
          <w:rFonts w:hint="eastAsia"/>
          <w:sz w:val="22"/>
        </w:rPr>
        <w:t>、评标专家应对通过投标文件初审进入评标程序的投标文件先评技术标、再评商务标；</w:t>
      </w:r>
    </w:p>
    <w:p w14:paraId="06F4D6A0">
      <w:pPr>
        <w:spacing w:line="300" w:lineRule="auto"/>
        <w:rPr>
          <w:sz w:val="40"/>
          <w:szCs w:val="40"/>
        </w:rPr>
        <w:sectPr>
          <w:pgSz w:w="11910" w:h="16840"/>
          <w:pgMar w:top="1100" w:right="800" w:bottom="1280" w:left="1100" w:header="877" w:footer="1098" w:gutter="0"/>
          <w:cols w:space="720" w:num="1"/>
        </w:sectPr>
      </w:pPr>
      <w:r>
        <w:rPr>
          <w:sz w:val="22"/>
        </w:rPr>
        <w:t>8</w:t>
      </w:r>
      <w:r>
        <w:rPr>
          <w:rFonts w:hint="eastAsia"/>
          <w:sz w:val="22"/>
        </w:rPr>
        <w:t>、评标专家需按招标文件规定的评审标准对投标人提交的投标文件进行评审，投标文件中与评审标准无关的内容不作为评审内容。</w:t>
      </w:r>
    </w:p>
    <w:p w14:paraId="0588EB6C">
      <w:pPr>
        <w:pStyle w:val="3"/>
        <w:tabs>
          <w:tab w:val="left" w:pos="2138"/>
        </w:tabs>
        <w:snapToGrid w:val="0"/>
        <w:spacing w:before="312" w:beforeLines="100" w:after="0"/>
        <w:jc w:val="center"/>
        <w:outlineLvl w:val="2"/>
        <w:rPr>
          <w:rFonts w:hint="eastAsia" w:ascii="宋体" w:hAnsi="宋体" w:eastAsia="宋体" w:cs="宋体"/>
          <w:b/>
          <w:bCs/>
          <w:color w:val="000000" w:themeColor="text1"/>
          <w:kern w:val="0"/>
          <w:sz w:val="28"/>
          <w:szCs w:val="28"/>
          <w:lang w:bidi="ar"/>
          <w14:textFill>
            <w14:solidFill>
              <w14:schemeClr w14:val="tx1"/>
            </w14:solidFill>
          </w14:textFill>
        </w:rPr>
      </w:pPr>
      <w:bookmarkStart w:id="6" w:name="_Toc7353"/>
      <w:r>
        <w:rPr>
          <w:rFonts w:hint="eastAsia" w:ascii="宋体" w:hAnsi="宋体" w:eastAsia="宋体" w:cs="宋体"/>
          <w:b/>
          <w:bCs/>
          <w:color w:val="000000" w:themeColor="text1"/>
          <w:kern w:val="0"/>
          <w:sz w:val="28"/>
          <w:szCs w:val="28"/>
          <w:lang w:bidi="ar"/>
          <w14:textFill>
            <w14:solidFill>
              <w14:schemeClr w14:val="tx1"/>
            </w14:solidFill>
          </w14:textFill>
        </w:rPr>
        <w:t>评分细则表</w:t>
      </w:r>
      <w:bookmarkEnd w:id="6"/>
    </w:p>
    <w:tbl>
      <w:tblPr>
        <w:tblStyle w:val="8"/>
        <w:tblW w:w="9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775"/>
        <w:gridCol w:w="6559"/>
      </w:tblGrid>
      <w:tr w14:paraId="4D40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Borders>
              <w:top w:val="single" w:color="auto" w:sz="4" w:space="0"/>
              <w:left w:val="single" w:color="auto" w:sz="4" w:space="0"/>
              <w:right w:val="single" w:color="auto" w:sz="4" w:space="0"/>
            </w:tcBorders>
            <w:vAlign w:val="center"/>
          </w:tcPr>
          <w:p w14:paraId="042F0AB2">
            <w:pPr>
              <w:spacing w:line="288" w:lineRule="auto"/>
              <w:jc w:val="center"/>
              <w:rPr>
                <w:rFonts w:hint="eastAsia" w:ascii="宋体" w:hAnsi="宋体" w:eastAsia="宋体" w:cs="宋体"/>
                <w:b/>
                <w:bCs/>
                <w:szCs w:val="21"/>
              </w:rPr>
            </w:pPr>
            <w:r>
              <w:rPr>
                <w:rFonts w:hint="eastAsia" w:ascii="宋体" w:hAnsi="宋体" w:eastAsia="宋体" w:cs="宋体"/>
                <w:b/>
                <w:bCs/>
                <w:szCs w:val="21"/>
              </w:rPr>
              <w:t>序号</w:t>
            </w:r>
          </w:p>
        </w:tc>
        <w:tc>
          <w:tcPr>
            <w:tcW w:w="1775" w:type="dxa"/>
            <w:tcBorders>
              <w:top w:val="single" w:color="auto" w:sz="4" w:space="0"/>
              <w:left w:val="single" w:color="auto" w:sz="4" w:space="0"/>
              <w:bottom w:val="single" w:color="auto" w:sz="4" w:space="0"/>
              <w:right w:val="single" w:color="auto" w:sz="4" w:space="0"/>
            </w:tcBorders>
            <w:vAlign w:val="center"/>
          </w:tcPr>
          <w:p w14:paraId="1DEC3A25">
            <w:pPr>
              <w:spacing w:line="288" w:lineRule="auto"/>
              <w:jc w:val="center"/>
              <w:rPr>
                <w:rFonts w:hint="eastAsia" w:ascii="宋体" w:hAnsi="宋体" w:eastAsia="宋体" w:cs="宋体"/>
                <w:b/>
                <w:bCs/>
                <w:szCs w:val="21"/>
              </w:rPr>
            </w:pPr>
            <w:r>
              <w:rPr>
                <w:rFonts w:hint="eastAsia" w:ascii="宋体" w:hAnsi="宋体" w:eastAsia="宋体" w:cs="宋体"/>
                <w:b/>
                <w:bCs/>
                <w:szCs w:val="21"/>
              </w:rPr>
              <w:t>评分项</w:t>
            </w:r>
          </w:p>
        </w:tc>
        <w:tc>
          <w:tcPr>
            <w:tcW w:w="6559" w:type="dxa"/>
            <w:tcBorders>
              <w:top w:val="single" w:color="auto" w:sz="4" w:space="0"/>
              <w:left w:val="single" w:color="auto" w:sz="4" w:space="0"/>
              <w:bottom w:val="single" w:color="auto" w:sz="4" w:space="0"/>
              <w:right w:val="single" w:color="auto" w:sz="4" w:space="0"/>
            </w:tcBorders>
            <w:vAlign w:val="center"/>
          </w:tcPr>
          <w:p w14:paraId="7DBAA3C4">
            <w:pPr>
              <w:spacing w:line="288" w:lineRule="auto"/>
              <w:jc w:val="center"/>
              <w:rPr>
                <w:rFonts w:hint="eastAsia" w:ascii="宋体" w:hAnsi="宋体" w:eastAsia="宋体" w:cs="宋体"/>
                <w:b/>
                <w:bCs/>
                <w:szCs w:val="21"/>
              </w:rPr>
            </w:pPr>
            <w:r>
              <w:rPr>
                <w:rFonts w:hint="eastAsia" w:ascii="宋体" w:hAnsi="宋体" w:eastAsia="宋体" w:cs="宋体"/>
                <w:b/>
                <w:bCs/>
                <w:szCs w:val="21"/>
              </w:rPr>
              <w:t>权重（%）</w:t>
            </w:r>
          </w:p>
        </w:tc>
      </w:tr>
      <w:tr w14:paraId="01CF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restart"/>
            <w:tcBorders>
              <w:top w:val="single" w:color="auto" w:sz="4" w:space="0"/>
              <w:left w:val="single" w:color="auto" w:sz="4" w:space="0"/>
              <w:right w:val="single" w:color="auto" w:sz="4" w:space="0"/>
            </w:tcBorders>
            <w:vAlign w:val="center"/>
          </w:tcPr>
          <w:p w14:paraId="55D2AFE8">
            <w:pPr>
              <w:spacing w:line="288" w:lineRule="auto"/>
              <w:jc w:val="center"/>
              <w:rPr>
                <w:rFonts w:hint="eastAsia" w:ascii="宋体" w:hAnsi="宋体" w:eastAsia="宋体" w:cs="宋体"/>
                <w:bCs/>
                <w:szCs w:val="21"/>
              </w:rPr>
            </w:pPr>
            <w:r>
              <w:rPr>
                <w:rFonts w:hint="eastAsia" w:ascii="宋体" w:hAnsi="宋体" w:eastAsia="宋体" w:cs="宋体"/>
                <w:bCs/>
                <w:szCs w:val="21"/>
              </w:rPr>
              <w:t>1</w:t>
            </w:r>
          </w:p>
        </w:tc>
        <w:tc>
          <w:tcPr>
            <w:tcW w:w="1775" w:type="dxa"/>
            <w:tcBorders>
              <w:top w:val="single" w:color="auto" w:sz="4" w:space="0"/>
              <w:left w:val="single" w:color="auto" w:sz="4" w:space="0"/>
              <w:bottom w:val="single" w:color="auto" w:sz="4" w:space="0"/>
              <w:right w:val="single" w:color="auto" w:sz="4" w:space="0"/>
            </w:tcBorders>
          </w:tcPr>
          <w:p w14:paraId="11820ADF">
            <w:pPr>
              <w:spacing w:line="288" w:lineRule="auto"/>
              <w:jc w:val="center"/>
              <w:rPr>
                <w:rFonts w:hint="eastAsia" w:ascii="宋体" w:hAnsi="宋体" w:eastAsia="宋体" w:cs="宋体"/>
                <w:b/>
                <w:szCs w:val="21"/>
              </w:rPr>
            </w:pPr>
            <w:r>
              <w:rPr>
                <w:rFonts w:hint="eastAsia" w:ascii="宋体" w:hAnsi="宋体" w:eastAsia="宋体" w:cs="宋体"/>
                <w:b/>
                <w:szCs w:val="21"/>
              </w:rPr>
              <w:t>商务部分</w:t>
            </w:r>
          </w:p>
        </w:tc>
        <w:tc>
          <w:tcPr>
            <w:tcW w:w="6559" w:type="dxa"/>
            <w:tcBorders>
              <w:top w:val="single" w:color="auto" w:sz="4" w:space="0"/>
              <w:left w:val="single" w:color="auto" w:sz="4" w:space="0"/>
              <w:bottom w:val="single" w:color="auto" w:sz="4" w:space="0"/>
              <w:right w:val="single" w:color="auto" w:sz="4" w:space="0"/>
            </w:tcBorders>
          </w:tcPr>
          <w:p w14:paraId="1B67EADC">
            <w:pPr>
              <w:pStyle w:val="13"/>
              <w:spacing w:before="20" w:line="288" w:lineRule="auto"/>
              <w:ind w:left="1683" w:right="1683"/>
              <w:jc w:val="center"/>
              <w:rPr>
                <w:rFonts w:hint="eastAsia" w:ascii="宋体" w:hAnsi="宋体" w:eastAsia="宋体" w:cs="宋体"/>
                <w:szCs w:val="21"/>
              </w:rPr>
            </w:pPr>
            <w:r>
              <w:rPr>
                <w:rFonts w:hint="eastAsia" w:ascii="宋体" w:hAnsi="宋体" w:cs="宋体"/>
                <w:szCs w:val="21"/>
              </w:rPr>
              <w:t>50</w:t>
            </w:r>
          </w:p>
        </w:tc>
      </w:tr>
      <w:tr w14:paraId="16C0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continue"/>
            <w:tcBorders>
              <w:left w:val="single" w:color="auto" w:sz="4" w:space="0"/>
              <w:right w:val="single" w:color="auto" w:sz="4" w:space="0"/>
            </w:tcBorders>
            <w:vAlign w:val="center"/>
          </w:tcPr>
          <w:p w14:paraId="106E4067">
            <w:pPr>
              <w:spacing w:line="288" w:lineRule="auto"/>
              <w:jc w:val="center"/>
              <w:rPr>
                <w:rFonts w:hint="eastAsia" w:ascii="宋体" w:hAnsi="宋体" w:eastAsia="宋体" w:cs="宋体"/>
                <w:bCs/>
                <w:szCs w:val="21"/>
              </w:rPr>
            </w:pPr>
          </w:p>
        </w:tc>
        <w:tc>
          <w:tcPr>
            <w:tcW w:w="1775" w:type="dxa"/>
            <w:tcBorders>
              <w:top w:val="single" w:color="auto" w:sz="4" w:space="0"/>
              <w:left w:val="single" w:color="auto" w:sz="4" w:space="0"/>
              <w:bottom w:val="single" w:color="auto" w:sz="4" w:space="0"/>
              <w:right w:val="single" w:color="auto" w:sz="4" w:space="0"/>
            </w:tcBorders>
          </w:tcPr>
          <w:p w14:paraId="04B5951B">
            <w:pPr>
              <w:spacing w:line="288" w:lineRule="auto"/>
              <w:jc w:val="center"/>
              <w:rPr>
                <w:rFonts w:hint="eastAsia" w:ascii="宋体" w:hAnsi="宋体" w:eastAsia="宋体" w:cs="宋体"/>
                <w:b/>
                <w:szCs w:val="21"/>
              </w:rPr>
            </w:pPr>
            <w:r>
              <w:rPr>
                <w:rFonts w:hint="eastAsia" w:ascii="宋体" w:hAnsi="宋体" w:eastAsia="宋体" w:cs="宋体"/>
                <w:szCs w:val="21"/>
              </w:rPr>
              <w:t>评分因素</w:t>
            </w:r>
          </w:p>
        </w:tc>
        <w:tc>
          <w:tcPr>
            <w:tcW w:w="6559" w:type="dxa"/>
            <w:tcBorders>
              <w:top w:val="single" w:color="auto" w:sz="4" w:space="0"/>
              <w:left w:val="single" w:color="auto" w:sz="4" w:space="0"/>
              <w:bottom w:val="single" w:color="auto" w:sz="4" w:space="0"/>
              <w:right w:val="single" w:color="auto" w:sz="4" w:space="0"/>
            </w:tcBorders>
          </w:tcPr>
          <w:p w14:paraId="4534FB5C">
            <w:pPr>
              <w:spacing w:line="288" w:lineRule="auto"/>
              <w:jc w:val="center"/>
              <w:rPr>
                <w:rFonts w:hint="eastAsia" w:ascii="宋体" w:hAnsi="宋体" w:eastAsia="宋体" w:cs="宋体"/>
                <w:b/>
                <w:bCs/>
                <w:szCs w:val="21"/>
              </w:rPr>
            </w:pPr>
            <w:r>
              <w:rPr>
                <w:rFonts w:hint="eastAsia" w:ascii="宋体" w:hAnsi="宋体" w:eastAsia="宋体" w:cs="宋体"/>
                <w:szCs w:val="21"/>
              </w:rPr>
              <w:t>评分准则</w:t>
            </w:r>
          </w:p>
        </w:tc>
      </w:tr>
      <w:tr w14:paraId="74F2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05" w:type="dxa"/>
            <w:vMerge w:val="continue"/>
            <w:tcBorders>
              <w:left w:val="single" w:color="auto" w:sz="4" w:space="0"/>
              <w:right w:val="single" w:color="auto" w:sz="4" w:space="0"/>
            </w:tcBorders>
            <w:vAlign w:val="center"/>
          </w:tcPr>
          <w:p w14:paraId="3AFF0DF7">
            <w:pPr>
              <w:widowControl/>
              <w:spacing w:line="288" w:lineRule="auto"/>
              <w:jc w:val="left"/>
              <w:rPr>
                <w:rFonts w:hint="eastAsia" w:ascii="宋体" w:hAnsi="宋体" w:eastAsia="宋体" w:cs="宋体"/>
                <w:bCs/>
                <w:szCs w:val="21"/>
              </w:rPr>
            </w:pPr>
          </w:p>
        </w:tc>
        <w:tc>
          <w:tcPr>
            <w:tcW w:w="1775" w:type="dxa"/>
            <w:tcBorders>
              <w:top w:val="single" w:color="auto" w:sz="4" w:space="0"/>
              <w:left w:val="single" w:color="auto" w:sz="4" w:space="0"/>
              <w:bottom w:val="single" w:color="auto" w:sz="4" w:space="0"/>
              <w:right w:val="single" w:color="auto" w:sz="4" w:space="0"/>
            </w:tcBorders>
            <w:vAlign w:val="center"/>
          </w:tcPr>
          <w:p w14:paraId="2E7F182B">
            <w:pPr>
              <w:spacing w:line="288" w:lineRule="auto"/>
              <w:jc w:val="center"/>
              <w:rPr>
                <w:rFonts w:hint="eastAsia" w:ascii="宋体" w:hAnsi="宋体" w:eastAsia="宋体" w:cs="宋体"/>
                <w:szCs w:val="21"/>
              </w:rPr>
            </w:pPr>
            <w:r>
              <w:rPr>
                <w:rFonts w:hint="eastAsia" w:ascii="宋体" w:hAnsi="宋体" w:eastAsia="宋体" w:cs="宋体"/>
                <w:szCs w:val="21"/>
              </w:rPr>
              <w:t>投标报价</w:t>
            </w:r>
          </w:p>
        </w:tc>
        <w:tc>
          <w:tcPr>
            <w:tcW w:w="6559" w:type="dxa"/>
            <w:tcBorders>
              <w:top w:val="single" w:color="auto" w:sz="4" w:space="0"/>
              <w:left w:val="single" w:color="auto" w:sz="4" w:space="0"/>
              <w:bottom w:val="single" w:color="auto" w:sz="4" w:space="0"/>
              <w:right w:val="single" w:color="auto" w:sz="4" w:space="0"/>
            </w:tcBorders>
          </w:tcPr>
          <w:p w14:paraId="56A12224">
            <w:pPr>
              <w:spacing w:line="288" w:lineRule="auto"/>
              <w:ind w:firstLine="315" w:firstLineChars="150"/>
              <w:jc w:val="left"/>
              <w:rPr>
                <w:rFonts w:hint="eastAsia" w:ascii="宋体" w:hAnsi="宋体" w:eastAsia="宋体" w:cs="宋体"/>
                <w:szCs w:val="21"/>
              </w:rPr>
            </w:pPr>
            <w:r>
              <w:rPr>
                <w:rFonts w:hint="eastAsia" w:ascii="宋体" w:hAnsi="宋体" w:eastAsia="宋体" w:cs="宋体"/>
                <w:szCs w:val="21"/>
              </w:rPr>
              <w:t xml:space="preserve">采用低价优先法计算，即满足招标文件要求且投标价格最低的投标报价为评标基准价，其价格分为满分。其他投标人的价格分统一按照下列公式计算： </w:t>
            </w:r>
          </w:p>
          <w:p w14:paraId="50F8AE58">
            <w:pPr>
              <w:spacing w:line="288" w:lineRule="auto"/>
              <w:ind w:firstLine="315" w:firstLineChars="150"/>
              <w:jc w:val="left"/>
              <w:rPr>
                <w:rFonts w:hint="eastAsia" w:ascii="宋体" w:hAnsi="宋体" w:eastAsia="宋体" w:cs="宋体"/>
                <w:spacing w:val="-11"/>
                <w:szCs w:val="21"/>
              </w:rPr>
            </w:pPr>
            <w:r>
              <w:rPr>
                <w:rFonts w:hint="eastAsia" w:ascii="宋体" w:hAnsi="宋体" w:eastAsia="宋体" w:cs="宋体"/>
                <w:szCs w:val="21"/>
              </w:rPr>
              <w:t>投标报价得分=(评标基准价／投标报价)×100×</w:t>
            </w:r>
            <w:r>
              <w:rPr>
                <w:rFonts w:hint="eastAsia" w:ascii="宋体" w:hAnsi="宋体" w:cs="宋体"/>
                <w:szCs w:val="21"/>
              </w:rPr>
              <w:t>50</w:t>
            </w:r>
            <w:r>
              <w:rPr>
                <w:rFonts w:hint="eastAsia" w:ascii="宋体" w:hAnsi="宋体" w:eastAsia="宋体" w:cs="宋体"/>
                <w:szCs w:val="21"/>
              </w:rPr>
              <w:t>%</w:t>
            </w:r>
          </w:p>
        </w:tc>
      </w:tr>
      <w:tr w14:paraId="2ABD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restart"/>
            <w:tcBorders>
              <w:top w:val="single" w:color="auto" w:sz="4" w:space="0"/>
              <w:left w:val="single" w:color="auto" w:sz="4" w:space="0"/>
              <w:right w:val="single" w:color="auto" w:sz="4" w:space="0"/>
            </w:tcBorders>
            <w:vAlign w:val="center"/>
          </w:tcPr>
          <w:p w14:paraId="7FDB3060">
            <w:pPr>
              <w:spacing w:line="288" w:lineRule="auto"/>
              <w:jc w:val="center"/>
              <w:rPr>
                <w:rFonts w:hint="eastAsia" w:ascii="宋体" w:hAnsi="宋体" w:eastAsia="宋体" w:cs="宋体"/>
                <w:bCs/>
                <w:szCs w:val="21"/>
                <w:highlight w:val="none"/>
              </w:rPr>
            </w:pPr>
            <w:r>
              <w:rPr>
                <w:rFonts w:hint="eastAsia" w:ascii="宋体" w:hAnsi="宋体" w:eastAsia="宋体" w:cs="宋体"/>
                <w:bCs/>
                <w:szCs w:val="21"/>
                <w:highlight w:val="none"/>
              </w:rPr>
              <w:t>2</w:t>
            </w:r>
          </w:p>
        </w:tc>
        <w:tc>
          <w:tcPr>
            <w:tcW w:w="1775" w:type="dxa"/>
            <w:tcBorders>
              <w:top w:val="single" w:color="auto" w:sz="4" w:space="0"/>
              <w:left w:val="single" w:color="auto" w:sz="4" w:space="0"/>
              <w:bottom w:val="single" w:color="auto" w:sz="4" w:space="0"/>
              <w:right w:val="single" w:color="auto" w:sz="4" w:space="0"/>
            </w:tcBorders>
          </w:tcPr>
          <w:p w14:paraId="17E4E532">
            <w:pPr>
              <w:spacing w:line="288" w:lineRule="auto"/>
              <w:jc w:val="center"/>
              <w:rPr>
                <w:rFonts w:hint="eastAsia" w:ascii="宋体" w:hAnsi="宋体" w:eastAsia="宋体" w:cs="宋体"/>
                <w:b/>
                <w:szCs w:val="21"/>
                <w:highlight w:val="none"/>
              </w:rPr>
            </w:pPr>
            <w:r>
              <w:rPr>
                <w:rFonts w:hint="eastAsia" w:ascii="宋体" w:hAnsi="宋体" w:cs="宋体"/>
                <w:b/>
                <w:szCs w:val="21"/>
                <w:highlight w:val="none"/>
              </w:rPr>
              <w:t>技术</w:t>
            </w:r>
            <w:r>
              <w:rPr>
                <w:rFonts w:hint="eastAsia" w:ascii="宋体" w:hAnsi="宋体" w:eastAsia="宋体" w:cs="宋体"/>
                <w:b/>
                <w:szCs w:val="21"/>
                <w:highlight w:val="none"/>
              </w:rPr>
              <w:t>部分</w:t>
            </w:r>
          </w:p>
        </w:tc>
        <w:tc>
          <w:tcPr>
            <w:tcW w:w="6559" w:type="dxa"/>
            <w:tcBorders>
              <w:top w:val="single" w:color="auto" w:sz="4" w:space="0"/>
              <w:left w:val="single" w:color="auto" w:sz="4" w:space="0"/>
              <w:bottom w:val="single" w:color="auto" w:sz="4" w:space="0"/>
              <w:right w:val="single" w:color="auto" w:sz="4" w:space="0"/>
            </w:tcBorders>
          </w:tcPr>
          <w:p w14:paraId="5A7C57D4">
            <w:pPr>
              <w:spacing w:line="288" w:lineRule="auto"/>
              <w:jc w:val="center"/>
              <w:rPr>
                <w:rFonts w:hint="eastAsia" w:ascii="宋体" w:hAnsi="宋体" w:eastAsia="宋体" w:cs="宋体"/>
                <w:b/>
                <w:szCs w:val="21"/>
                <w:highlight w:val="none"/>
              </w:rPr>
            </w:pPr>
            <w:r>
              <w:rPr>
                <w:rFonts w:hint="eastAsia" w:ascii="宋体" w:hAnsi="宋体" w:cs="宋体"/>
                <w:szCs w:val="21"/>
                <w:highlight w:val="none"/>
              </w:rPr>
              <w:t>30</w:t>
            </w:r>
          </w:p>
        </w:tc>
      </w:tr>
      <w:tr w14:paraId="4C4A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vMerge w:val="continue"/>
            <w:tcBorders>
              <w:left w:val="single" w:color="auto" w:sz="4" w:space="0"/>
              <w:right w:val="single" w:color="auto" w:sz="4" w:space="0"/>
            </w:tcBorders>
            <w:vAlign w:val="center"/>
          </w:tcPr>
          <w:p w14:paraId="2D5C622F">
            <w:pPr>
              <w:spacing w:line="288" w:lineRule="auto"/>
              <w:jc w:val="center"/>
              <w:rPr>
                <w:rFonts w:hint="eastAsia" w:ascii="宋体" w:hAnsi="宋体" w:eastAsia="宋体" w:cs="宋体"/>
                <w:bCs/>
                <w:szCs w:val="21"/>
                <w:highlight w:val="none"/>
              </w:rPr>
            </w:pPr>
          </w:p>
        </w:tc>
        <w:tc>
          <w:tcPr>
            <w:tcW w:w="1775" w:type="dxa"/>
            <w:tcBorders>
              <w:top w:val="single" w:color="auto" w:sz="4" w:space="0"/>
              <w:left w:val="single" w:color="auto" w:sz="4" w:space="0"/>
              <w:bottom w:val="single" w:color="auto" w:sz="4" w:space="0"/>
              <w:right w:val="single" w:color="auto" w:sz="4" w:space="0"/>
            </w:tcBorders>
          </w:tcPr>
          <w:p w14:paraId="2C02547E">
            <w:pPr>
              <w:spacing w:line="288" w:lineRule="auto"/>
              <w:jc w:val="center"/>
              <w:rPr>
                <w:rFonts w:hint="eastAsia" w:ascii="宋体" w:hAnsi="宋体" w:eastAsia="宋体" w:cs="宋体"/>
                <w:b/>
                <w:szCs w:val="21"/>
                <w:highlight w:val="none"/>
              </w:rPr>
            </w:pPr>
            <w:r>
              <w:rPr>
                <w:rFonts w:hint="eastAsia" w:ascii="宋体" w:hAnsi="宋体" w:eastAsia="宋体" w:cs="宋体"/>
                <w:szCs w:val="21"/>
                <w:highlight w:val="none"/>
              </w:rPr>
              <w:t>评分因素</w:t>
            </w:r>
          </w:p>
        </w:tc>
        <w:tc>
          <w:tcPr>
            <w:tcW w:w="6559" w:type="dxa"/>
            <w:tcBorders>
              <w:top w:val="single" w:color="auto" w:sz="4" w:space="0"/>
              <w:left w:val="single" w:color="auto" w:sz="4" w:space="0"/>
              <w:bottom w:val="single" w:color="auto" w:sz="4" w:space="0"/>
              <w:right w:val="single" w:color="auto" w:sz="4" w:space="0"/>
            </w:tcBorders>
          </w:tcPr>
          <w:p w14:paraId="6C0B70C6">
            <w:pPr>
              <w:spacing w:line="288" w:lineRule="auto"/>
              <w:jc w:val="center"/>
              <w:rPr>
                <w:rFonts w:hint="eastAsia" w:ascii="宋体" w:hAnsi="宋体" w:eastAsia="宋体" w:cs="宋体"/>
                <w:b/>
                <w:szCs w:val="21"/>
                <w:highlight w:val="none"/>
              </w:rPr>
            </w:pPr>
            <w:r>
              <w:rPr>
                <w:rFonts w:hint="eastAsia" w:ascii="宋体" w:hAnsi="宋体" w:eastAsia="宋体" w:cs="宋体"/>
                <w:szCs w:val="21"/>
                <w:highlight w:val="none"/>
              </w:rPr>
              <w:t>评分准则</w:t>
            </w:r>
          </w:p>
        </w:tc>
      </w:tr>
      <w:tr w14:paraId="601B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continue"/>
            <w:tcBorders>
              <w:left w:val="single" w:color="auto" w:sz="4" w:space="0"/>
              <w:right w:val="single" w:color="auto" w:sz="4" w:space="0"/>
            </w:tcBorders>
            <w:vAlign w:val="center"/>
          </w:tcPr>
          <w:p w14:paraId="1CE2B8D3">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4B9C1EEE">
            <w:pPr>
              <w:spacing w:line="288" w:lineRule="auto"/>
              <w:jc w:val="center"/>
              <w:rPr>
                <w:rFonts w:hint="eastAsia" w:ascii="宋体" w:hAnsi="宋体" w:eastAsia="宋体" w:cs="宋体"/>
                <w:szCs w:val="21"/>
                <w:highlight w:val="none"/>
              </w:rPr>
            </w:pPr>
            <w:r>
              <w:rPr>
                <w:rFonts w:hint="eastAsia" w:ascii="宋体" w:hAnsi="宋体" w:eastAsia="宋体" w:cs="宋体"/>
                <w:szCs w:val="21"/>
                <w:highlight w:val="none"/>
              </w:rPr>
              <w:t>项目重难点分析</w:t>
            </w:r>
          </w:p>
          <w:p w14:paraId="44F2CE93">
            <w:pPr>
              <w:spacing w:line="288" w:lineRule="auto"/>
              <w:jc w:val="center"/>
              <w:rPr>
                <w:rFonts w:hint="eastAsia" w:ascii="宋体" w:hAnsi="宋体" w:eastAsia="宋体" w:cs="宋体"/>
                <w:szCs w:val="21"/>
                <w:highlight w:val="none"/>
              </w:rPr>
            </w:pPr>
            <w:r>
              <w:rPr>
                <w:rFonts w:hint="eastAsia" w:ascii="宋体" w:hAnsi="宋体" w:cs="宋体"/>
                <w:szCs w:val="21"/>
                <w:highlight w:val="none"/>
              </w:rPr>
              <w:t>（5）</w:t>
            </w:r>
          </w:p>
        </w:tc>
        <w:tc>
          <w:tcPr>
            <w:tcW w:w="6559" w:type="dxa"/>
            <w:tcBorders>
              <w:top w:val="single" w:color="auto" w:sz="4" w:space="0"/>
              <w:left w:val="single" w:color="auto" w:sz="4" w:space="0"/>
              <w:bottom w:val="single" w:color="auto" w:sz="4" w:space="0"/>
              <w:right w:val="single" w:color="auto" w:sz="4" w:space="0"/>
            </w:tcBorders>
            <w:vAlign w:val="center"/>
          </w:tcPr>
          <w:p w14:paraId="765C9CD7">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（一）评审内容：</w:t>
            </w:r>
          </w:p>
          <w:p w14:paraId="5A6B0169">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给出项目施工的重难点的分析及应对措施、合理化建议。</w:t>
            </w:r>
          </w:p>
          <w:p w14:paraId="75E4440F">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（二）评审标准：</w:t>
            </w:r>
          </w:p>
          <w:p w14:paraId="1EC9D06E">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优（5分）：重难点分析全面、准确（如覆盖了材料垂直运输、劳动力组织、施工流水、环境保护等方面难点），应对措施具体、有针对性；</w:t>
            </w:r>
          </w:p>
          <w:p w14:paraId="5FC71617">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良（3分）：重难点分析较为全面，应对措施基本可行，提出了合理化建议；</w:t>
            </w:r>
          </w:p>
          <w:p w14:paraId="65FFBF87">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合格（2分）：能识别主要重难点，提出基本的应对措施。</w:t>
            </w:r>
          </w:p>
        </w:tc>
      </w:tr>
      <w:tr w14:paraId="7E4C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continue"/>
            <w:tcBorders>
              <w:left w:val="single" w:color="auto" w:sz="4" w:space="0"/>
              <w:right w:val="single" w:color="auto" w:sz="4" w:space="0"/>
            </w:tcBorders>
            <w:vAlign w:val="center"/>
          </w:tcPr>
          <w:p w14:paraId="5D09A229">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239585E9">
            <w:pPr>
              <w:spacing w:line="288" w:lineRule="auto"/>
              <w:jc w:val="center"/>
              <w:rPr>
                <w:rFonts w:ascii="Calibri" w:hAnsi="Calibri" w:cs="Times New Roman"/>
                <w:szCs w:val="21"/>
                <w:highlight w:val="none"/>
              </w:rPr>
            </w:pPr>
            <w:r>
              <w:rPr>
                <w:rFonts w:hint="eastAsia" w:ascii="Calibri" w:hAnsi="Calibri" w:cs="Times New Roman"/>
                <w:szCs w:val="21"/>
                <w:highlight w:val="none"/>
              </w:rPr>
              <w:t>安全管理方案</w:t>
            </w:r>
          </w:p>
          <w:p w14:paraId="19C4F398">
            <w:pPr>
              <w:spacing w:line="288" w:lineRule="auto"/>
              <w:jc w:val="center"/>
              <w:rPr>
                <w:rFonts w:hint="eastAsia" w:ascii="宋体" w:hAnsi="宋体" w:eastAsia="宋体" w:cs="宋体"/>
                <w:szCs w:val="21"/>
                <w:highlight w:val="none"/>
              </w:rPr>
            </w:pPr>
            <w:r>
              <w:rPr>
                <w:rFonts w:hint="eastAsia" w:ascii="Calibri" w:hAnsi="Calibri" w:cs="Times New Roman"/>
                <w:szCs w:val="21"/>
                <w:highlight w:val="none"/>
              </w:rPr>
              <w:t>（10）</w:t>
            </w:r>
          </w:p>
        </w:tc>
        <w:tc>
          <w:tcPr>
            <w:tcW w:w="6559" w:type="dxa"/>
            <w:tcBorders>
              <w:top w:val="single" w:color="auto" w:sz="4" w:space="0"/>
              <w:left w:val="single" w:color="auto" w:sz="4" w:space="0"/>
              <w:bottom w:val="single" w:color="auto" w:sz="4" w:space="0"/>
              <w:right w:val="single" w:color="auto" w:sz="4" w:space="0"/>
            </w:tcBorders>
            <w:vAlign w:val="center"/>
          </w:tcPr>
          <w:p w14:paraId="6037F3D1">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（一）评审内容： </w:t>
            </w:r>
          </w:p>
          <w:p w14:paraId="311DADDD">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highlight w:val="none"/>
              </w:rPr>
              <w:t>明确安全文明施工管理目标，安全文明施工管理体系，安全文明控制点、安全文明管理措施、应急管理等。</w:t>
            </w:r>
          </w:p>
          <w:p w14:paraId="50BE7B63">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（二）评审标准： </w:t>
            </w:r>
          </w:p>
          <w:p w14:paraId="6A934768">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优（10分）：方案内容全面、系统、具体，紧密结合本项目改造工程特点，具有高度的针对性、前瞻性和可操作性；</w:t>
            </w:r>
          </w:p>
          <w:p w14:paraId="1D4E94BB">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良（6分）：方案内容较为完整，符合规范要求，能覆盖主要安全管理方面，具有一定可操作性；</w:t>
            </w:r>
          </w:p>
          <w:p w14:paraId="37B4568D">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合格（3分）：方案内容基本满足招标文件要求，框架尚存，但缺乏深度、具体内容和针对性，可操作性一般。</w:t>
            </w:r>
          </w:p>
        </w:tc>
      </w:tr>
      <w:tr w14:paraId="7B14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tcBorders>
              <w:left w:val="single" w:color="auto" w:sz="4" w:space="0"/>
              <w:right w:val="single" w:color="auto" w:sz="4" w:space="0"/>
            </w:tcBorders>
            <w:vAlign w:val="center"/>
          </w:tcPr>
          <w:p w14:paraId="2188343F">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21FE3BF5">
            <w:pPr>
              <w:spacing w:line="288" w:lineRule="auto"/>
              <w:jc w:val="center"/>
              <w:rPr>
                <w:rFonts w:ascii="Calibri" w:hAnsi="Calibri" w:cs="Times New Roman"/>
                <w:szCs w:val="21"/>
                <w:highlight w:val="none"/>
              </w:rPr>
            </w:pPr>
            <w:r>
              <w:rPr>
                <w:rFonts w:hint="eastAsia" w:ascii="Calibri" w:hAnsi="Calibri" w:cs="Times New Roman"/>
                <w:szCs w:val="21"/>
                <w:highlight w:val="none"/>
              </w:rPr>
              <w:t>质量管理方案</w:t>
            </w:r>
          </w:p>
          <w:p w14:paraId="48DA5FC3">
            <w:pPr>
              <w:spacing w:line="288" w:lineRule="auto"/>
              <w:jc w:val="center"/>
              <w:rPr>
                <w:rFonts w:ascii="Calibri" w:hAnsi="Calibri" w:cs="Times New Roman"/>
                <w:szCs w:val="21"/>
                <w:highlight w:val="none"/>
              </w:rPr>
            </w:pPr>
            <w:r>
              <w:rPr>
                <w:rFonts w:hint="eastAsia" w:ascii="Calibri" w:hAnsi="Calibri" w:cs="Times New Roman"/>
                <w:szCs w:val="21"/>
                <w:highlight w:val="none"/>
              </w:rPr>
              <w:t>（5）</w:t>
            </w:r>
          </w:p>
        </w:tc>
        <w:tc>
          <w:tcPr>
            <w:tcW w:w="6559" w:type="dxa"/>
            <w:tcBorders>
              <w:top w:val="single" w:color="auto" w:sz="4" w:space="0"/>
              <w:left w:val="single" w:color="auto" w:sz="4" w:space="0"/>
              <w:bottom w:val="single" w:color="auto" w:sz="4" w:space="0"/>
              <w:right w:val="single" w:color="auto" w:sz="4" w:space="0"/>
            </w:tcBorders>
            <w:vAlign w:val="center"/>
          </w:tcPr>
          <w:p w14:paraId="4DCB23FB">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（一）评审内容： </w:t>
            </w:r>
          </w:p>
          <w:p w14:paraId="68233EB1">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highlight w:val="none"/>
              </w:rPr>
              <w:t>明确质量管理目标，质量管理体系，质量控制点及质量管理措施等。</w:t>
            </w:r>
          </w:p>
          <w:p w14:paraId="11C91F11">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（二）评审标准： </w:t>
            </w:r>
          </w:p>
          <w:p w14:paraId="1ADAEF45">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优（5分）：方案充分体现监理单位的专业性，内容全面、系统、深入，紧扣本项目</w:t>
            </w:r>
            <w:r>
              <w:rPr>
                <w:rFonts w:hint="eastAsia" w:ascii="宋体" w:hAnsi="宋体" w:eastAsia="宋体" w:cs="宋体"/>
                <w:szCs w:val="21"/>
                <w:highlight w:val="none"/>
                <w:lang w:val="en-US" w:eastAsia="zh-CN"/>
              </w:rPr>
              <w:t>改造</w:t>
            </w:r>
            <w:r>
              <w:rPr>
                <w:rFonts w:hint="eastAsia" w:ascii="宋体" w:hAnsi="宋体" w:eastAsia="宋体" w:cs="宋体"/>
                <w:szCs w:val="21"/>
                <w:highlight w:val="none"/>
              </w:rPr>
              <w:t>工程特点与难点，预控措施得力，过程控制严谨，验收标准明确，具有针对性；</w:t>
            </w:r>
          </w:p>
          <w:p w14:paraId="57198959">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良（3分）：方案内容较为完整，符合监理规范的基本要求，覆盖了质量管理的主要方面，但深度、精细度或与项目特点的结合度有待加强；</w:t>
            </w:r>
          </w:p>
          <w:p w14:paraId="0D1E7337">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合格（2分）：方案内容仅达到最低要求，框架性内容居多，缺乏深度和具体措施，可操作性差，未能充分体现监理工作的独立监控作用。</w:t>
            </w:r>
          </w:p>
        </w:tc>
      </w:tr>
      <w:tr w14:paraId="01FA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tcBorders>
              <w:left w:val="single" w:color="auto" w:sz="4" w:space="0"/>
              <w:right w:val="single" w:color="auto" w:sz="4" w:space="0"/>
            </w:tcBorders>
            <w:vAlign w:val="center"/>
          </w:tcPr>
          <w:p w14:paraId="12D3E8A1">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6ED22D2F">
            <w:pPr>
              <w:spacing w:line="288" w:lineRule="auto"/>
              <w:jc w:val="center"/>
              <w:rPr>
                <w:rFonts w:ascii="Calibri" w:hAnsi="Calibri" w:cs="Times New Roman"/>
                <w:szCs w:val="21"/>
                <w:highlight w:val="none"/>
              </w:rPr>
            </w:pPr>
            <w:r>
              <w:rPr>
                <w:rFonts w:hint="eastAsia" w:ascii="Calibri" w:hAnsi="Calibri" w:cs="Times New Roman"/>
                <w:szCs w:val="21"/>
                <w:highlight w:val="none"/>
              </w:rPr>
              <w:t>进度管理方案</w:t>
            </w:r>
          </w:p>
          <w:p w14:paraId="177C4EE1">
            <w:pPr>
              <w:spacing w:line="288" w:lineRule="auto"/>
              <w:jc w:val="center"/>
              <w:rPr>
                <w:rFonts w:ascii="Calibri" w:hAnsi="Calibri" w:cs="Times New Roman"/>
                <w:szCs w:val="21"/>
                <w:highlight w:val="none"/>
              </w:rPr>
            </w:pPr>
            <w:r>
              <w:rPr>
                <w:rFonts w:hint="eastAsia" w:ascii="Calibri" w:hAnsi="Calibri" w:cs="Times New Roman"/>
                <w:szCs w:val="21"/>
                <w:highlight w:val="none"/>
              </w:rPr>
              <w:t>（10）</w:t>
            </w:r>
          </w:p>
        </w:tc>
        <w:tc>
          <w:tcPr>
            <w:tcW w:w="6559" w:type="dxa"/>
            <w:tcBorders>
              <w:top w:val="single" w:color="auto" w:sz="4" w:space="0"/>
              <w:left w:val="single" w:color="auto" w:sz="4" w:space="0"/>
              <w:bottom w:val="single" w:color="auto" w:sz="4" w:space="0"/>
              <w:right w:val="single" w:color="auto" w:sz="4" w:space="0"/>
            </w:tcBorders>
            <w:vAlign w:val="center"/>
          </w:tcPr>
          <w:p w14:paraId="6288D94B">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（一）评审内容： </w:t>
            </w:r>
          </w:p>
          <w:p w14:paraId="7B44A4C3">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highlight w:val="none"/>
              </w:rPr>
              <w:t>明确项目进度目标，进度控制点，进度控制措施等。</w:t>
            </w:r>
          </w:p>
          <w:p w14:paraId="1C237D09">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（二）评审标准： </w:t>
            </w:r>
          </w:p>
          <w:p w14:paraId="0CAB8DAE">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优（10分）：方案全面、系统、深入，充分体现监理单位在进度控制上的主动性和预见性。紧密结合本项目</w:t>
            </w:r>
            <w:r>
              <w:rPr>
                <w:rFonts w:hint="eastAsia" w:ascii="宋体" w:hAnsi="宋体" w:eastAsia="宋体" w:cs="宋体"/>
                <w:szCs w:val="21"/>
                <w:highlight w:val="none"/>
                <w:lang w:val="en-US" w:eastAsia="zh-CN"/>
              </w:rPr>
              <w:t>改造</w:t>
            </w:r>
            <w:r>
              <w:rPr>
                <w:rFonts w:hint="eastAsia" w:ascii="宋体" w:hAnsi="宋体" w:eastAsia="宋体" w:cs="宋体"/>
                <w:szCs w:val="21"/>
                <w:highlight w:val="none"/>
              </w:rPr>
              <w:t>工程特点，对进度风险的识别全面，监控手段先进，纠偏措施得力。</w:t>
            </w:r>
          </w:p>
          <w:p w14:paraId="01AA8E83">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良（8分）：方案内容较为完整，符合监理规范对进度控制的基本要求，覆盖了主要监控环节，具有一定的可操作性，但深度、前瞻性或措施的精细化程度不足。</w:t>
            </w:r>
          </w:p>
          <w:p w14:paraId="1E6828C0">
            <w:pPr>
              <w:spacing w:line="288" w:lineRule="auto"/>
              <w:ind w:firstLine="315" w:firstLineChars="150"/>
              <w:jc w:val="left"/>
              <w:rPr>
                <w:rFonts w:hint="eastAsia" w:ascii="宋体" w:hAnsi="宋体" w:eastAsia="宋体" w:cs="宋体"/>
                <w:highlight w:val="none"/>
              </w:rPr>
            </w:pPr>
            <w:r>
              <w:rPr>
                <w:rFonts w:hint="eastAsia" w:ascii="宋体" w:hAnsi="宋体" w:eastAsia="宋体" w:cs="宋体"/>
                <w:szCs w:val="21"/>
                <w:highlight w:val="none"/>
              </w:rPr>
              <w:t>合格（5分）：方案内容仅达到最低要求，框架性、原则性内容居多，缺乏具体、可操作的监控措施，难以有效指导实际监理工作。</w:t>
            </w:r>
          </w:p>
        </w:tc>
      </w:tr>
      <w:tr w14:paraId="41E6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restart"/>
            <w:tcBorders>
              <w:left w:val="single" w:color="auto" w:sz="4" w:space="0"/>
              <w:right w:val="single" w:color="auto" w:sz="4" w:space="0"/>
            </w:tcBorders>
            <w:vAlign w:val="center"/>
          </w:tcPr>
          <w:p w14:paraId="4F0DE25B">
            <w:pPr>
              <w:widowControl/>
              <w:spacing w:line="288" w:lineRule="auto"/>
              <w:ind w:firstLine="210" w:firstLineChars="100"/>
              <w:jc w:val="left"/>
              <w:rPr>
                <w:rFonts w:hint="eastAsia" w:ascii="宋体" w:hAnsi="宋体" w:eastAsia="宋体" w:cs="宋体"/>
                <w:szCs w:val="21"/>
                <w:highlight w:val="none"/>
              </w:rPr>
            </w:pPr>
            <w:r>
              <w:rPr>
                <w:rFonts w:hint="eastAsia" w:ascii="宋体" w:hAnsi="宋体" w:eastAsia="宋体" w:cs="宋体"/>
                <w:szCs w:val="21"/>
                <w:highlight w:val="none"/>
              </w:rPr>
              <w:t>3</w:t>
            </w:r>
          </w:p>
        </w:tc>
        <w:tc>
          <w:tcPr>
            <w:tcW w:w="1775" w:type="dxa"/>
            <w:tcBorders>
              <w:top w:val="single" w:color="auto" w:sz="4" w:space="0"/>
              <w:left w:val="single" w:color="auto" w:sz="4" w:space="0"/>
              <w:bottom w:val="single" w:color="auto" w:sz="4" w:space="0"/>
              <w:right w:val="single" w:color="auto" w:sz="4" w:space="0"/>
            </w:tcBorders>
          </w:tcPr>
          <w:p w14:paraId="63B1E277">
            <w:pPr>
              <w:spacing w:line="288" w:lineRule="auto"/>
              <w:jc w:val="center"/>
              <w:rPr>
                <w:rFonts w:hint="eastAsia" w:ascii="宋体" w:hAnsi="宋体" w:eastAsia="宋体" w:cs="宋体"/>
                <w:szCs w:val="21"/>
                <w:highlight w:val="none"/>
              </w:rPr>
            </w:pPr>
            <w:r>
              <w:rPr>
                <w:rFonts w:hint="eastAsia" w:ascii="宋体" w:hAnsi="宋体" w:eastAsia="宋体" w:cs="宋体"/>
                <w:b/>
                <w:szCs w:val="21"/>
                <w:highlight w:val="none"/>
              </w:rPr>
              <w:t>资信部分</w:t>
            </w:r>
          </w:p>
        </w:tc>
        <w:tc>
          <w:tcPr>
            <w:tcW w:w="6559" w:type="dxa"/>
            <w:tcBorders>
              <w:top w:val="single" w:color="auto" w:sz="4" w:space="0"/>
              <w:left w:val="single" w:color="auto" w:sz="4" w:space="0"/>
              <w:bottom w:val="single" w:color="auto" w:sz="4" w:space="0"/>
              <w:right w:val="single" w:color="auto" w:sz="4" w:space="0"/>
            </w:tcBorders>
          </w:tcPr>
          <w:p w14:paraId="2B633FC9">
            <w:pPr>
              <w:spacing w:line="288" w:lineRule="auto"/>
              <w:jc w:val="center"/>
              <w:rPr>
                <w:rFonts w:hint="eastAsia" w:ascii="宋体" w:hAnsi="宋体" w:eastAsia="宋体" w:cs="宋体"/>
                <w:szCs w:val="21"/>
                <w:highlight w:val="none"/>
              </w:rPr>
            </w:pPr>
            <w:r>
              <w:rPr>
                <w:rFonts w:hint="eastAsia" w:ascii="宋体" w:hAnsi="宋体" w:cs="宋体"/>
                <w:szCs w:val="21"/>
                <w:highlight w:val="none"/>
              </w:rPr>
              <w:t>20</w:t>
            </w:r>
          </w:p>
        </w:tc>
      </w:tr>
      <w:tr w14:paraId="5E82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continue"/>
            <w:tcBorders>
              <w:left w:val="single" w:color="auto" w:sz="4" w:space="0"/>
              <w:right w:val="single" w:color="auto" w:sz="4" w:space="0"/>
            </w:tcBorders>
            <w:vAlign w:val="center"/>
          </w:tcPr>
          <w:p w14:paraId="00410624">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tcPr>
          <w:p w14:paraId="4A458F64">
            <w:pPr>
              <w:spacing w:line="288" w:lineRule="auto"/>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6559" w:type="dxa"/>
            <w:tcBorders>
              <w:top w:val="single" w:color="auto" w:sz="4" w:space="0"/>
              <w:left w:val="single" w:color="auto" w:sz="4" w:space="0"/>
              <w:bottom w:val="single" w:color="auto" w:sz="4" w:space="0"/>
              <w:right w:val="single" w:color="auto" w:sz="4" w:space="0"/>
            </w:tcBorders>
          </w:tcPr>
          <w:p w14:paraId="02F87541">
            <w:pPr>
              <w:spacing w:line="288" w:lineRule="auto"/>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1E106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continue"/>
            <w:tcBorders>
              <w:left w:val="single" w:color="auto" w:sz="4" w:space="0"/>
              <w:right w:val="single" w:color="auto" w:sz="4" w:space="0"/>
            </w:tcBorders>
            <w:vAlign w:val="center"/>
          </w:tcPr>
          <w:p w14:paraId="0FED995B">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7EFB7A42">
            <w:pPr>
              <w:spacing w:line="288" w:lineRule="auto"/>
              <w:jc w:val="center"/>
              <w:rPr>
                <w:rFonts w:hint="eastAsia" w:ascii="宋体" w:hAnsi="宋体" w:cs="宋体"/>
                <w:szCs w:val="21"/>
                <w:highlight w:val="none"/>
              </w:rPr>
            </w:pPr>
            <w:r>
              <w:rPr>
                <w:rFonts w:hint="eastAsia" w:ascii="宋体" w:hAnsi="宋体" w:cs="宋体"/>
                <w:szCs w:val="21"/>
                <w:highlight w:val="none"/>
              </w:rPr>
              <w:t>同类业绩</w:t>
            </w:r>
          </w:p>
          <w:p w14:paraId="7F862D55">
            <w:pPr>
              <w:spacing w:line="288" w:lineRule="auto"/>
              <w:jc w:val="center"/>
              <w:rPr>
                <w:rFonts w:hint="eastAsia" w:ascii="宋体" w:hAnsi="宋体" w:cs="宋体"/>
                <w:szCs w:val="21"/>
                <w:highlight w:val="none"/>
              </w:rPr>
            </w:pPr>
            <w:r>
              <w:rPr>
                <w:rFonts w:hint="eastAsia" w:ascii="宋体" w:hAnsi="宋体" w:cs="宋体"/>
                <w:szCs w:val="21"/>
                <w:highlight w:val="none"/>
              </w:rPr>
              <w:t>（12）</w:t>
            </w:r>
          </w:p>
        </w:tc>
        <w:tc>
          <w:tcPr>
            <w:tcW w:w="6559" w:type="dxa"/>
            <w:tcBorders>
              <w:top w:val="single" w:color="auto" w:sz="4" w:space="0"/>
              <w:left w:val="single" w:color="auto" w:sz="4" w:space="0"/>
              <w:bottom w:val="single" w:color="auto" w:sz="4" w:space="0"/>
              <w:right w:val="single" w:color="auto" w:sz="4" w:space="0"/>
            </w:tcBorders>
            <w:vAlign w:val="center"/>
          </w:tcPr>
          <w:p w14:paraId="761F91DD">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（一）评审标准： </w:t>
            </w:r>
          </w:p>
          <w:p w14:paraId="64E72679">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2023年1月1日至今最具代表性的同类项目业绩，提供的业绩数量最多不超过4项，若超过4项则按提供材料顺序审查前4项，每提供一项业绩得3分，最高得12分，未提供不得分。</w:t>
            </w:r>
          </w:p>
          <w:p w14:paraId="4A72C435">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（二）证明文件： </w:t>
            </w:r>
          </w:p>
          <w:p w14:paraId="4CBE2323">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须提供合同关键页的扫描件（含合同范围、服务内容、合同金额、合同签订时间等），未按要求提供或提供的证明材料专家无法判断的不得分。</w:t>
            </w:r>
          </w:p>
        </w:tc>
      </w:tr>
      <w:tr w14:paraId="0FE4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705" w:type="dxa"/>
            <w:vMerge w:val="continue"/>
            <w:tcBorders>
              <w:left w:val="single" w:color="auto" w:sz="4" w:space="0"/>
              <w:right w:val="single" w:color="auto" w:sz="4" w:space="0"/>
            </w:tcBorders>
            <w:vAlign w:val="center"/>
          </w:tcPr>
          <w:p w14:paraId="021C9437">
            <w:pPr>
              <w:widowControl/>
              <w:spacing w:line="288" w:lineRule="auto"/>
              <w:jc w:val="left"/>
              <w:rPr>
                <w:rFonts w:hint="eastAsia" w:ascii="宋体" w:hAnsi="宋体" w:eastAsia="宋体" w:cs="宋体"/>
                <w:szCs w:val="21"/>
                <w:highlight w:val="none"/>
              </w:rPr>
            </w:pPr>
          </w:p>
        </w:tc>
        <w:tc>
          <w:tcPr>
            <w:tcW w:w="1775" w:type="dxa"/>
            <w:tcBorders>
              <w:top w:val="single" w:color="auto" w:sz="4" w:space="0"/>
              <w:left w:val="single" w:color="auto" w:sz="4" w:space="0"/>
              <w:bottom w:val="single" w:color="auto" w:sz="4" w:space="0"/>
              <w:right w:val="single" w:color="auto" w:sz="4" w:space="0"/>
            </w:tcBorders>
            <w:vAlign w:val="center"/>
          </w:tcPr>
          <w:p w14:paraId="199BC25A">
            <w:pPr>
              <w:spacing w:line="288" w:lineRule="auto"/>
              <w:jc w:val="center"/>
              <w:rPr>
                <w:rFonts w:hint="eastAsia" w:ascii="宋体" w:hAnsi="宋体" w:cs="宋体"/>
                <w:szCs w:val="21"/>
                <w:highlight w:val="none"/>
              </w:rPr>
            </w:pPr>
            <w:r>
              <w:rPr>
                <w:rFonts w:hint="eastAsia" w:ascii="宋体" w:hAnsi="宋体" w:cs="宋体"/>
                <w:szCs w:val="21"/>
                <w:highlight w:val="none"/>
              </w:rPr>
              <w:t>履约质效</w:t>
            </w:r>
          </w:p>
          <w:p w14:paraId="715B3AA5">
            <w:pPr>
              <w:spacing w:line="288" w:lineRule="auto"/>
              <w:jc w:val="center"/>
              <w:rPr>
                <w:highlight w:val="none"/>
              </w:rPr>
            </w:pPr>
            <w:r>
              <w:rPr>
                <w:rFonts w:hint="eastAsia" w:ascii="宋体" w:hAnsi="宋体" w:cs="宋体"/>
                <w:szCs w:val="21"/>
                <w:highlight w:val="none"/>
              </w:rPr>
              <w:t>（8）</w:t>
            </w:r>
          </w:p>
        </w:tc>
        <w:tc>
          <w:tcPr>
            <w:tcW w:w="6559" w:type="dxa"/>
            <w:tcBorders>
              <w:top w:val="single" w:color="auto" w:sz="4" w:space="0"/>
              <w:left w:val="single" w:color="auto" w:sz="4" w:space="0"/>
              <w:bottom w:val="single" w:color="auto" w:sz="4" w:space="0"/>
              <w:right w:val="single" w:color="auto" w:sz="4" w:space="0"/>
            </w:tcBorders>
            <w:vAlign w:val="center"/>
          </w:tcPr>
          <w:p w14:paraId="1E9B14DF">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 xml:space="preserve">（一）评审内容： </w:t>
            </w:r>
          </w:p>
          <w:p w14:paraId="4909F942">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对本企业在本项目履约中存在的优势做出说明，包括公司资源调度、技术优势等。</w:t>
            </w:r>
          </w:p>
          <w:p w14:paraId="783D75D9">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（二）评审标准：</w:t>
            </w:r>
          </w:p>
          <w:p w14:paraId="1584B7CD">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资源保障方面4分（包括但不限于：为保障本项目投入的专属管理团队、关键设备等资源的具体方案是否详细、适配度高）。</w:t>
            </w:r>
          </w:p>
          <w:p w14:paraId="480E3D26">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技术优势方面2分（说明在类似项目中的特有技术、工艺、专利或成熟管理体系，与本项目需求契合度高。）</w:t>
            </w:r>
          </w:p>
          <w:p w14:paraId="590530D4">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管理优势方面2分（说明在类似项目中的好的管理经验与成效）</w:t>
            </w:r>
          </w:p>
          <w:p w14:paraId="3B264F80">
            <w:pPr>
              <w:spacing w:line="288" w:lineRule="auto"/>
              <w:ind w:firstLine="315" w:firstLineChars="150"/>
              <w:jc w:val="left"/>
              <w:rPr>
                <w:rFonts w:hint="eastAsia" w:ascii="宋体" w:hAnsi="宋体" w:eastAsia="宋体" w:cs="宋体"/>
                <w:szCs w:val="21"/>
                <w:highlight w:val="none"/>
              </w:rPr>
            </w:pPr>
            <w:r>
              <w:rPr>
                <w:rFonts w:hint="eastAsia" w:ascii="宋体" w:hAnsi="宋体" w:eastAsia="宋体" w:cs="宋体"/>
                <w:szCs w:val="21"/>
                <w:highlight w:val="none"/>
              </w:rPr>
              <w:t>未提供相应方案不得分。专家根据内容合理性评分</w:t>
            </w:r>
            <w:r>
              <w:rPr>
                <w:rFonts w:hint="eastAsia" w:ascii="宋体" w:hAnsi="宋体" w:cs="宋体"/>
                <w:szCs w:val="21"/>
                <w:highlight w:val="none"/>
              </w:rPr>
              <w:t>。</w:t>
            </w:r>
          </w:p>
        </w:tc>
      </w:tr>
    </w:tbl>
    <w:p w14:paraId="6BA1833C">
      <w:pPr>
        <w:rPr>
          <w:color w:val="000000" w:themeColor="text1"/>
          <w:highlight w:val="none"/>
          <w14:textFill>
            <w14:solidFill>
              <w14:schemeClr w14:val="tx1"/>
            </w14:solidFill>
          </w14:textFill>
        </w:rPr>
      </w:pPr>
    </w:p>
    <w:p w14:paraId="211E31AB">
      <w:pPr>
        <w:pStyle w:val="3"/>
        <w:tabs>
          <w:tab w:val="left" w:pos="2138"/>
        </w:tabs>
        <w:spacing w:before="72"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 xml:space="preserve">备注： </w:t>
      </w:r>
    </w:p>
    <w:p w14:paraId="248FEE23">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t>每一项的得分均不能超过该项最高分值。</w:t>
      </w:r>
    </w:p>
    <w:p w14:paraId="52B63EF8">
      <w:pPr>
        <w:spacing w:line="360" w:lineRule="auto"/>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color w:val="000000" w:themeColor="text1"/>
          <w:highlight w:val="none"/>
          <w14:textFill>
            <w14:solidFill>
              <w14:schemeClr w14:val="tx1"/>
            </w14:solidFill>
          </w14:textFill>
        </w:rPr>
        <w:t xml:space="preserve">缺项则该项为 0 分或不合格为 0 分。 </w:t>
      </w:r>
    </w:p>
    <w:p w14:paraId="7886466B">
      <w:pPr>
        <w:pStyle w:val="3"/>
        <w:ind w:firstLine="420" w:firstLineChars="20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t>客观评分项，所有评审专家应当统一打分分值；主观评分项，评审专家应当按照打分</w:t>
      </w:r>
      <w:r>
        <w:rPr>
          <w:rFonts w:hint="eastAsia"/>
          <w:color w:val="000000" w:themeColor="text1"/>
          <w:highlight w:val="none"/>
          <w14:textFill>
            <w14:solidFill>
              <w14:schemeClr w14:val="tx1"/>
            </w14:solidFill>
          </w14:textFill>
        </w:rPr>
        <w:t>标准进行评分。</w:t>
      </w:r>
    </w:p>
    <w:p w14:paraId="4FD8289B">
      <w:pPr>
        <w:topLinePunct/>
        <w:adjustRightInd w:val="0"/>
        <w:snapToGrid w:val="0"/>
        <w:spacing w:line="360" w:lineRule="auto"/>
        <w:ind w:firstLine="420" w:firstLineChars="200"/>
        <w:rPr>
          <w:rFonts w:hint="eastAsia" w:ascii="宋体" w:hAnsi="宋体" w:eastAsia="宋体" w:cs="宋体"/>
          <w:color w:val="000000" w:themeColor="text1"/>
          <w:kern w:val="0"/>
          <w:szCs w:val="21"/>
          <w:highlight w:val="none"/>
          <w14:textFill>
            <w14:solidFill>
              <w14:schemeClr w14:val="tx1"/>
            </w14:solidFill>
          </w14:textFill>
        </w:rPr>
      </w:pPr>
    </w:p>
    <w:p w14:paraId="452B17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yMmQ4NmM5MGQ1MTg5NTIwNTY2ZWZlMzJjMmViZTkifQ=="/>
  </w:docVars>
  <w:rsids>
    <w:rsidRoot w:val="74F97A7D"/>
    <w:rsid w:val="001C0C92"/>
    <w:rsid w:val="005D55D9"/>
    <w:rsid w:val="006720E2"/>
    <w:rsid w:val="00AF55B8"/>
    <w:rsid w:val="00E005C4"/>
    <w:rsid w:val="050A69AE"/>
    <w:rsid w:val="077704F7"/>
    <w:rsid w:val="09DA2616"/>
    <w:rsid w:val="0B3B61D6"/>
    <w:rsid w:val="0C060244"/>
    <w:rsid w:val="0DA2405F"/>
    <w:rsid w:val="109C4CD3"/>
    <w:rsid w:val="11902A8A"/>
    <w:rsid w:val="151C4DE5"/>
    <w:rsid w:val="19502AFF"/>
    <w:rsid w:val="258E145B"/>
    <w:rsid w:val="261849A4"/>
    <w:rsid w:val="29F2313B"/>
    <w:rsid w:val="2F8F62B7"/>
    <w:rsid w:val="2FC47942"/>
    <w:rsid w:val="347F60F0"/>
    <w:rsid w:val="37E31971"/>
    <w:rsid w:val="3B1B3A00"/>
    <w:rsid w:val="3D5E35B8"/>
    <w:rsid w:val="3E0A1E11"/>
    <w:rsid w:val="3E2825B5"/>
    <w:rsid w:val="42C35BA4"/>
    <w:rsid w:val="47796868"/>
    <w:rsid w:val="4BC6EBB9"/>
    <w:rsid w:val="4FD35314"/>
    <w:rsid w:val="50510BA4"/>
    <w:rsid w:val="563D5928"/>
    <w:rsid w:val="589B500C"/>
    <w:rsid w:val="59D32AE1"/>
    <w:rsid w:val="5AE8436A"/>
    <w:rsid w:val="5E6D188E"/>
    <w:rsid w:val="5E88506D"/>
    <w:rsid w:val="640F701E"/>
    <w:rsid w:val="6BFC44B3"/>
    <w:rsid w:val="6E263567"/>
    <w:rsid w:val="74F97A7D"/>
    <w:rsid w:val="779E7D06"/>
    <w:rsid w:val="78452301"/>
    <w:rsid w:val="7C606BB1"/>
    <w:rsid w:val="DF921A68"/>
    <w:rsid w:val="F26BD722"/>
    <w:rsid w:val="FFBD9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unhideWhenUsed/>
    <w:qFormat/>
    <w:uiPriority w:val="99"/>
    <w:pPr>
      <w:spacing w:after="120"/>
    </w:p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annotation subject"/>
    <w:basedOn w:val="2"/>
    <w:next w:val="2"/>
    <w:link w:val="18"/>
    <w:qFormat/>
    <w:uiPriority w:val="0"/>
    <w:rPr>
      <w:b/>
      <w:bCs/>
    </w:rPr>
  </w:style>
  <w:style w:type="character" w:styleId="10">
    <w:name w:val="Strong"/>
    <w:basedOn w:val="9"/>
    <w:qFormat/>
    <w:uiPriority w:val="0"/>
    <w:rPr>
      <w:rFonts w:ascii="Times New Roman" w:hAnsi="Times New Roman" w:eastAsia="宋体"/>
      <w:b/>
      <w:sz w:val="28"/>
    </w:rPr>
  </w:style>
  <w:style w:type="character" w:styleId="11">
    <w:name w:val="annotation reference"/>
    <w:basedOn w:val="9"/>
    <w:qFormat/>
    <w:uiPriority w:val="0"/>
    <w:rPr>
      <w:sz w:val="21"/>
      <w:szCs w:val="21"/>
    </w:rPr>
  </w:style>
  <w:style w:type="paragraph" w:customStyle="1" w:styleId="12">
    <w:name w:val="非政府正文"/>
    <w:basedOn w:val="1"/>
    <w:qFormat/>
    <w:uiPriority w:val="0"/>
  </w:style>
  <w:style w:type="paragraph" w:customStyle="1" w:styleId="13">
    <w:name w:val="Table Paragraph"/>
    <w:basedOn w:val="1"/>
    <w:qFormat/>
    <w:uiPriority w:val="1"/>
  </w:style>
  <w:style w:type="paragraph" w:customStyle="1" w:styleId="14">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5">
    <w:name w:val="页眉 字符"/>
    <w:basedOn w:val="9"/>
    <w:link w:val="5"/>
    <w:qFormat/>
    <w:uiPriority w:val="0"/>
    <w:rPr>
      <w:rFonts w:asciiTheme="minorHAnsi" w:hAnsiTheme="minorHAnsi" w:eastAsiaTheme="minorEastAsia" w:cstheme="minorBidi"/>
      <w:kern w:val="2"/>
      <w:sz w:val="18"/>
      <w:szCs w:val="18"/>
    </w:rPr>
  </w:style>
  <w:style w:type="character" w:customStyle="1" w:styleId="16">
    <w:name w:val="页脚 字符"/>
    <w:basedOn w:val="9"/>
    <w:link w:val="4"/>
    <w:qFormat/>
    <w:uiPriority w:val="0"/>
    <w:rPr>
      <w:rFonts w:asciiTheme="minorHAnsi" w:hAnsiTheme="minorHAnsi" w:eastAsiaTheme="minorEastAsia" w:cstheme="minorBidi"/>
      <w:kern w:val="2"/>
      <w:sz w:val="18"/>
      <w:szCs w:val="18"/>
    </w:rPr>
  </w:style>
  <w:style w:type="character" w:customStyle="1" w:styleId="17">
    <w:name w:val="批注文字 字符"/>
    <w:basedOn w:val="9"/>
    <w:link w:val="2"/>
    <w:qFormat/>
    <w:uiPriority w:val="0"/>
    <w:rPr>
      <w:rFonts w:asciiTheme="minorHAnsi" w:hAnsiTheme="minorHAnsi" w:eastAsiaTheme="minorEastAsia" w:cstheme="minorBidi"/>
      <w:kern w:val="2"/>
      <w:sz w:val="21"/>
      <w:szCs w:val="22"/>
    </w:rPr>
  </w:style>
  <w:style w:type="character" w:customStyle="1" w:styleId="18">
    <w:name w:val="批注主题 字符"/>
    <w:basedOn w:val="17"/>
    <w:link w:val="7"/>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2186</Words>
  <Characters>2211</Characters>
  <Lines>78</Lines>
  <Paragraphs>93</Paragraphs>
  <TotalTime>47</TotalTime>
  <ScaleCrop>false</ScaleCrop>
  <LinksUpToDate>false</LinksUpToDate>
  <CharactersWithSpaces>2230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2023-05-12T11:49:00Z</dcterms:created>
  <dc:creator>马捷</dc:creator>
  <cp:lastModifiedBy>Qqqqqq</cp:lastModifiedBy>
  <dcterms:modified xsi:type="dcterms:W3CDTF">2026-06-18T09:52:07Z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6C09A6F835C74E79831B3318B3EF58A0_13</vt:lpwstr>
  </property>
  <property fmtid="{D5CDD505-2E9C-101B-9397-08002B2CF9AE}" pid="4" name="KSOTemplateDocerSaveRecord">
    <vt:lpwstr>eyJoZGlkIjoiZTI5NWMzNjQwMmEwMmJhMWNjZjQyOTRkOWYyYTk0OGIiLCJ1c2VySWQiOiI0NTcwMzE0OTAifQ==</vt:lpwstr>
  </property>
</Properties>
</file>