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64CE0A">
      <w:pPr>
        <w:spacing w:line="300" w:lineRule="auto"/>
        <w:rPr>
          <w:rFonts w:hint="eastAsia" w:hAnsi="宋体"/>
          <w:b/>
          <w:bCs/>
          <w:sz w:val="22"/>
        </w:rPr>
      </w:pPr>
      <w:bookmarkStart w:id="0" w:name="_Toc252771972"/>
      <w:bookmarkStart w:id="1" w:name="_Toc308178332"/>
      <w:bookmarkStart w:id="2" w:name="_Toc382577320"/>
      <w:bookmarkStart w:id="3" w:name="_Toc329683718"/>
      <w:bookmarkStart w:id="4" w:name="_Toc230512926"/>
      <w:bookmarkStart w:id="5" w:name="_Toc254955010"/>
    </w:p>
    <w:bookmarkEnd w:id="0"/>
    <w:bookmarkEnd w:id="1"/>
    <w:bookmarkEnd w:id="2"/>
    <w:bookmarkEnd w:id="3"/>
    <w:bookmarkEnd w:id="4"/>
    <w:bookmarkEnd w:id="5"/>
    <w:p w14:paraId="66B18B66">
      <w:pPr>
        <w:spacing w:line="300" w:lineRule="auto"/>
        <w:jc w:val="center"/>
        <w:rPr>
          <w:rFonts w:hint="eastAsia" w:ascii="宋体" w:hAnsi="宋体"/>
          <w:b/>
          <w:bCs/>
          <w:sz w:val="32"/>
          <w:szCs w:val="32"/>
        </w:rPr>
      </w:pPr>
      <w:r>
        <w:rPr>
          <w:rFonts w:hint="eastAsia" w:ascii="宋体" w:hAnsi="宋体"/>
          <w:b/>
          <w:bCs/>
          <w:sz w:val="32"/>
          <w:szCs w:val="32"/>
        </w:rPr>
        <w:t>评分细则</w:t>
      </w:r>
    </w:p>
    <w:p w14:paraId="7787DE67">
      <w:pPr>
        <w:spacing w:line="300" w:lineRule="auto"/>
        <w:rPr>
          <w:rFonts w:hint="eastAsia" w:ascii="宋体" w:hAnsi="宋体"/>
          <w:sz w:val="22"/>
        </w:rPr>
      </w:pPr>
    </w:p>
    <w:p w14:paraId="55684E6E">
      <w:pPr>
        <w:spacing w:line="300" w:lineRule="auto"/>
        <w:rPr>
          <w:rFonts w:hint="eastAsia" w:ascii="宋体" w:hAnsi="宋体"/>
          <w:sz w:val="22"/>
        </w:rPr>
      </w:pPr>
    </w:p>
    <w:p w14:paraId="640241B4">
      <w:pPr>
        <w:spacing w:line="300" w:lineRule="auto"/>
        <w:rPr>
          <w:rFonts w:hint="eastAsia" w:ascii="宋体" w:hAnsi="宋体"/>
          <w:b/>
          <w:sz w:val="22"/>
        </w:rPr>
      </w:pPr>
      <w:r>
        <w:rPr>
          <w:rFonts w:hint="eastAsia" w:ascii="宋体" w:hAnsi="宋体"/>
          <w:sz w:val="22"/>
        </w:rPr>
        <w:t>1、本项目的评标办法采用：</w:t>
      </w:r>
      <w:r>
        <w:rPr>
          <w:rFonts w:hint="eastAsia" w:ascii="宋体" w:hAnsi="宋体"/>
          <w:b/>
          <w:bCs/>
          <w:sz w:val="22"/>
        </w:rPr>
        <w:t>综合评分法</w:t>
      </w:r>
      <w:r>
        <w:rPr>
          <w:rFonts w:hint="eastAsia" w:ascii="宋体" w:hAnsi="宋体"/>
          <w:b/>
          <w:sz w:val="22"/>
        </w:rPr>
        <w:t>。</w:t>
      </w:r>
    </w:p>
    <w:p w14:paraId="5B9C058B">
      <w:pPr>
        <w:spacing w:line="300" w:lineRule="auto"/>
        <w:rPr>
          <w:sz w:val="22"/>
        </w:rPr>
      </w:pPr>
      <w:r>
        <w:rPr>
          <w:rFonts w:hint="eastAsia"/>
          <w:sz w:val="22"/>
        </w:rPr>
        <w:t>2、</w:t>
      </w:r>
      <w:r>
        <w:rPr>
          <w:sz w:val="22"/>
        </w:rPr>
        <w:t>中标人数量</w:t>
      </w:r>
      <w:r>
        <w:rPr>
          <w:rFonts w:hint="eastAsia"/>
          <w:sz w:val="22"/>
        </w:rPr>
        <w:t>：1家；候选</w:t>
      </w:r>
      <w:r>
        <w:rPr>
          <w:sz w:val="22"/>
        </w:rPr>
        <w:t>中标人数量：</w:t>
      </w:r>
      <w:r>
        <w:rPr>
          <w:rFonts w:hint="eastAsia"/>
          <w:sz w:val="22"/>
        </w:rPr>
        <w:t>3</w:t>
      </w:r>
      <w:r>
        <w:rPr>
          <w:sz w:val="22"/>
        </w:rPr>
        <w:t>家</w:t>
      </w:r>
      <w:r>
        <w:rPr>
          <w:rFonts w:hint="eastAsia"/>
          <w:sz w:val="22"/>
        </w:rPr>
        <w:t>或3家以上</w:t>
      </w:r>
      <w:r>
        <w:rPr>
          <w:sz w:val="22"/>
        </w:rPr>
        <w:t>。</w:t>
      </w:r>
    </w:p>
    <w:p w14:paraId="406A6F11">
      <w:pPr>
        <w:spacing w:line="300" w:lineRule="auto"/>
        <w:rPr>
          <w:sz w:val="22"/>
        </w:rPr>
      </w:pPr>
      <w:r>
        <w:rPr>
          <w:rFonts w:hint="eastAsia"/>
          <w:sz w:val="22"/>
        </w:rPr>
        <w:t>3、评标时，评标委员会各成员应当独立对每个通过资格性审查和符合性审查且报价不超过预算控制金额的投标人的投标文件进行评价，并汇总每个投标人每项评分因素的评分、评标委员会各成员对每个投标人评分的和，取算术平均值确定每个投标人的评审总得分。</w:t>
      </w:r>
    </w:p>
    <w:p w14:paraId="7DF445F8">
      <w:pPr>
        <w:spacing w:line="300" w:lineRule="auto"/>
        <w:rPr>
          <w:sz w:val="22"/>
        </w:rPr>
      </w:pPr>
      <w:r>
        <w:rPr>
          <w:sz w:val="22"/>
        </w:rPr>
        <w:t>4</w:t>
      </w:r>
      <w:r>
        <w:rPr>
          <w:rFonts w:hint="eastAsia"/>
          <w:sz w:val="22"/>
        </w:rPr>
        <w:t>、评审统一按照下列公式计算：</w:t>
      </w:r>
    </w:p>
    <w:p w14:paraId="3FB36874">
      <w:pPr>
        <w:spacing w:line="300" w:lineRule="auto"/>
        <w:ind w:firstLine="440" w:firstLineChars="200"/>
        <w:rPr>
          <w:sz w:val="22"/>
        </w:rPr>
      </w:pPr>
      <w:r>
        <w:rPr>
          <w:rFonts w:hint="eastAsia"/>
          <w:sz w:val="22"/>
        </w:rPr>
        <w:t xml:space="preserve">（1）基准价：为所有投标报价最低价。 </w:t>
      </w:r>
    </w:p>
    <w:p w14:paraId="1ADF6DBA">
      <w:pPr>
        <w:spacing w:line="300" w:lineRule="auto"/>
        <w:ind w:firstLine="440" w:firstLineChars="200"/>
        <w:rPr>
          <w:sz w:val="22"/>
        </w:rPr>
      </w:pPr>
      <w:r>
        <w:rPr>
          <w:rFonts w:hint="eastAsia"/>
          <w:sz w:val="22"/>
        </w:rPr>
        <w:t>（2）投标报价得分：</w:t>
      </w:r>
    </w:p>
    <w:p w14:paraId="285ADED3">
      <w:pPr>
        <w:spacing w:line="300" w:lineRule="auto"/>
        <w:ind w:firstLine="440" w:firstLineChars="200"/>
        <w:rPr>
          <w:sz w:val="22"/>
        </w:rPr>
      </w:pPr>
      <w:r>
        <w:rPr>
          <w:rFonts w:hint="eastAsia"/>
          <w:sz w:val="22"/>
        </w:rPr>
        <w:t xml:space="preserve">投标报价部分=(评标基准价／投标报价)×100×50% </w:t>
      </w:r>
    </w:p>
    <w:p w14:paraId="23510917">
      <w:pPr>
        <w:spacing w:line="300" w:lineRule="auto"/>
        <w:ind w:firstLine="440" w:firstLineChars="200"/>
        <w:rPr>
          <w:sz w:val="22"/>
        </w:rPr>
      </w:pPr>
      <w:r>
        <w:rPr>
          <w:rFonts w:hint="eastAsia"/>
          <w:sz w:val="22"/>
        </w:rPr>
        <w:t xml:space="preserve">计算分数时四舍五入取小数点后两位，当价格分＜0时，取0。 </w:t>
      </w:r>
    </w:p>
    <w:p w14:paraId="07BAD1F4">
      <w:pPr>
        <w:spacing w:line="300" w:lineRule="auto"/>
        <w:ind w:firstLine="440" w:firstLineChars="200"/>
        <w:rPr>
          <w:sz w:val="22"/>
        </w:rPr>
      </w:pPr>
      <w:r>
        <w:rPr>
          <w:rFonts w:hint="eastAsia"/>
          <w:sz w:val="22"/>
        </w:rPr>
        <w:t>投标人报价不得低于成本价报价。若报价明显偏低，投标人须对报价情况作出详细解释并须得到评标专家委员会认可。</w:t>
      </w:r>
    </w:p>
    <w:p w14:paraId="6A2C6290">
      <w:pPr>
        <w:spacing w:line="300" w:lineRule="auto"/>
        <w:ind w:firstLine="440" w:firstLineChars="200"/>
        <w:rPr>
          <w:sz w:val="22"/>
        </w:rPr>
      </w:pPr>
      <w:r>
        <w:rPr>
          <w:rFonts w:hint="eastAsia"/>
          <w:sz w:val="22"/>
        </w:rPr>
        <w:t>评标过程中，不得去掉报价中的最高报价和最低报价。</w:t>
      </w:r>
    </w:p>
    <w:p w14:paraId="76E6B5B4">
      <w:pPr>
        <w:spacing w:line="300" w:lineRule="auto"/>
        <w:rPr>
          <w:b/>
          <w:bCs/>
          <w:sz w:val="22"/>
        </w:rPr>
      </w:pPr>
      <w:r>
        <w:rPr>
          <w:rFonts w:hint="eastAsia"/>
          <w:sz w:val="22"/>
        </w:rPr>
        <w:t>5、候选中标人按评审后得分由高到低顺序排列；得分相同的，按投标报价由低到高顺序排列；得分且投标报价相同的，按技术指标或服务方案优劣顺序排列；得分且投标报价相同的且技术指标或服务方案优劣相同的，</w:t>
      </w:r>
      <w:r>
        <w:rPr>
          <w:bCs/>
          <w:sz w:val="22"/>
        </w:rPr>
        <w:t>采取随机抽取方式确定</w:t>
      </w:r>
      <w:r>
        <w:rPr>
          <w:rFonts w:hint="eastAsia"/>
          <w:bCs/>
          <w:sz w:val="22"/>
        </w:rPr>
        <w:t>候选</w:t>
      </w:r>
      <w:r>
        <w:rPr>
          <w:bCs/>
          <w:sz w:val="22"/>
        </w:rPr>
        <w:t>中标人推荐资格</w:t>
      </w:r>
      <w:r>
        <w:rPr>
          <w:rFonts w:hint="eastAsia"/>
          <w:bCs/>
          <w:sz w:val="22"/>
        </w:rPr>
        <w:t>。</w:t>
      </w:r>
    </w:p>
    <w:p w14:paraId="3DBE8657">
      <w:pPr>
        <w:spacing w:line="300" w:lineRule="auto"/>
        <w:rPr>
          <w:sz w:val="22"/>
        </w:rPr>
      </w:pPr>
      <w:r>
        <w:rPr>
          <w:rFonts w:hint="eastAsia"/>
          <w:sz w:val="22"/>
        </w:rPr>
        <w:t>6、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D7E99BF">
      <w:pPr>
        <w:spacing w:line="300" w:lineRule="auto"/>
        <w:rPr>
          <w:sz w:val="22"/>
        </w:rPr>
      </w:pPr>
      <w:r>
        <w:rPr>
          <w:sz w:val="22"/>
        </w:rPr>
        <w:t>7</w:t>
      </w:r>
      <w:r>
        <w:rPr>
          <w:rFonts w:hint="eastAsia"/>
          <w:sz w:val="22"/>
        </w:rPr>
        <w:t>、评标专家应对通过投标文件初审进入评标程序的投标文件先评技术标、再评商务标；</w:t>
      </w:r>
    </w:p>
    <w:p w14:paraId="06F4D6A0">
      <w:pPr>
        <w:spacing w:line="300" w:lineRule="auto"/>
        <w:rPr>
          <w:sz w:val="40"/>
          <w:szCs w:val="40"/>
        </w:rPr>
        <w:sectPr>
          <w:pgSz w:w="11910" w:h="16840"/>
          <w:pgMar w:top="1100" w:right="800" w:bottom="1280" w:left="1100" w:header="877" w:footer="1098" w:gutter="0"/>
          <w:cols w:space="720" w:num="1"/>
        </w:sectPr>
      </w:pPr>
      <w:r>
        <w:rPr>
          <w:sz w:val="22"/>
        </w:rPr>
        <w:t>8</w:t>
      </w:r>
      <w:r>
        <w:rPr>
          <w:rFonts w:hint="eastAsia"/>
          <w:sz w:val="22"/>
        </w:rPr>
        <w:t>、评标专家需按招标文件规定的评审标准对投标人提交的投标文件进行评审，投标文件中与评审标准无关的内容不作为评审内容。</w:t>
      </w:r>
    </w:p>
    <w:p w14:paraId="0588EB6C">
      <w:pPr>
        <w:pStyle w:val="3"/>
        <w:tabs>
          <w:tab w:val="left" w:pos="2138"/>
        </w:tabs>
        <w:snapToGrid w:val="0"/>
        <w:spacing w:before="312" w:beforeLines="100" w:after="0"/>
        <w:jc w:val="center"/>
        <w:outlineLvl w:val="2"/>
        <w:rPr>
          <w:rFonts w:hint="eastAsia" w:ascii="宋体" w:hAnsi="宋体" w:eastAsia="宋体" w:cs="宋体"/>
          <w:b/>
          <w:bCs/>
          <w:color w:val="000000" w:themeColor="text1"/>
          <w:kern w:val="0"/>
          <w:sz w:val="28"/>
          <w:szCs w:val="28"/>
          <w:lang w:bidi="ar"/>
          <w14:textFill>
            <w14:solidFill>
              <w14:schemeClr w14:val="tx1"/>
            </w14:solidFill>
          </w14:textFill>
        </w:rPr>
      </w:pPr>
      <w:bookmarkStart w:id="6" w:name="_Toc7353"/>
      <w:r>
        <w:rPr>
          <w:rFonts w:hint="eastAsia" w:ascii="宋体" w:hAnsi="宋体" w:eastAsia="宋体" w:cs="宋体"/>
          <w:b/>
          <w:bCs/>
          <w:color w:val="000000" w:themeColor="text1"/>
          <w:kern w:val="0"/>
          <w:sz w:val="28"/>
          <w:szCs w:val="28"/>
          <w:lang w:bidi="ar"/>
          <w14:textFill>
            <w14:solidFill>
              <w14:schemeClr w14:val="tx1"/>
            </w14:solidFill>
          </w14:textFill>
        </w:rPr>
        <w:t>评分细则表</w:t>
      </w:r>
      <w:bookmarkEnd w:id="6"/>
    </w:p>
    <w:tbl>
      <w:tblPr>
        <w:tblStyle w:val="8"/>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1775"/>
        <w:gridCol w:w="6559"/>
      </w:tblGrid>
      <w:tr w14:paraId="4D401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Borders>
              <w:top w:val="single" w:color="auto" w:sz="4" w:space="0"/>
              <w:left w:val="single" w:color="auto" w:sz="4" w:space="0"/>
              <w:right w:val="single" w:color="auto" w:sz="4" w:space="0"/>
            </w:tcBorders>
            <w:vAlign w:val="center"/>
          </w:tcPr>
          <w:p w14:paraId="042F0AB2">
            <w:pPr>
              <w:spacing w:line="288" w:lineRule="auto"/>
              <w:jc w:val="center"/>
              <w:rPr>
                <w:rFonts w:hint="eastAsia" w:ascii="宋体" w:hAnsi="宋体" w:eastAsia="宋体" w:cs="宋体"/>
                <w:b/>
                <w:bCs/>
                <w:szCs w:val="21"/>
              </w:rPr>
            </w:pPr>
            <w:r>
              <w:rPr>
                <w:rFonts w:hint="eastAsia" w:ascii="宋体" w:hAnsi="宋体" w:eastAsia="宋体" w:cs="宋体"/>
                <w:b/>
                <w:bCs/>
                <w:szCs w:val="21"/>
              </w:rPr>
              <w:t>序号</w:t>
            </w:r>
          </w:p>
        </w:tc>
        <w:tc>
          <w:tcPr>
            <w:tcW w:w="1775" w:type="dxa"/>
            <w:tcBorders>
              <w:top w:val="single" w:color="auto" w:sz="4" w:space="0"/>
              <w:left w:val="single" w:color="auto" w:sz="4" w:space="0"/>
              <w:bottom w:val="single" w:color="auto" w:sz="4" w:space="0"/>
              <w:right w:val="single" w:color="auto" w:sz="4" w:space="0"/>
            </w:tcBorders>
            <w:vAlign w:val="center"/>
          </w:tcPr>
          <w:p w14:paraId="1DEC3A25">
            <w:pPr>
              <w:spacing w:line="288" w:lineRule="auto"/>
              <w:jc w:val="center"/>
              <w:rPr>
                <w:rFonts w:hint="eastAsia" w:ascii="宋体" w:hAnsi="宋体" w:eastAsia="宋体" w:cs="宋体"/>
                <w:b/>
                <w:bCs/>
                <w:szCs w:val="21"/>
              </w:rPr>
            </w:pPr>
            <w:r>
              <w:rPr>
                <w:rFonts w:hint="eastAsia" w:ascii="宋体" w:hAnsi="宋体" w:eastAsia="宋体" w:cs="宋体"/>
                <w:b/>
                <w:bCs/>
                <w:szCs w:val="21"/>
              </w:rPr>
              <w:t>评分项</w:t>
            </w:r>
          </w:p>
        </w:tc>
        <w:tc>
          <w:tcPr>
            <w:tcW w:w="6559" w:type="dxa"/>
            <w:tcBorders>
              <w:top w:val="single" w:color="auto" w:sz="4" w:space="0"/>
              <w:left w:val="single" w:color="auto" w:sz="4" w:space="0"/>
              <w:bottom w:val="single" w:color="auto" w:sz="4" w:space="0"/>
              <w:right w:val="single" w:color="auto" w:sz="4" w:space="0"/>
            </w:tcBorders>
            <w:vAlign w:val="center"/>
          </w:tcPr>
          <w:p w14:paraId="7DBAA3C4">
            <w:pPr>
              <w:spacing w:line="288" w:lineRule="auto"/>
              <w:jc w:val="center"/>
              <w:rPr>
                <w:rFonts w:hint="eastAsia" w:ascii="宋体" w:hAnsi="宋体" w:eastAsia="宋体" w:cs="宋体"/>
                <w:b/>
                <w:bCs/>
                <w:szCs w:val="21"/>
              </w:rPr>
            </w:pPr>
            <w:r>
              <w:rPr>
                <w:rFonts w:hint="eastAsia" w:ascii="宋体" w:hAnsi="宋体" w:eastAsia="宋体" w:cs="宋体"/>
                <w:b/>
                <w:bCs/>
                <w:szCs w:val="21"/>
              </w:rPr>
              <w:t>权重（%）</w:t>
            </w:r>
          </w:p>
        </w:tc>
      </w:tr>
      <w:tr w14:paraId="01CF7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Merge w:val="restart"/>
            <w:tcBorders>
              <w:top w:val="single" w:color="auto" w:sz="4" w:space="0"/>
              <w:left w:val="single" w:color="auto" w:sz="4" w:space="0"/>
              <w:right w:val="single" w:color="auto" w:sz="4" w:space="0"/>
            </w:tcBorders>
            <w:vAlign w:val="center"/>
          </w:tcPr>
          <w:p w14:paraId="55D2AFE8">
            <w:pPr>
              <w:spacing w:line="288" w:lineRule="auto"/>
              <w:jc w:val="center"/>
              <w:rPr>
                <w:rFonts w:hint="eastAsia" w:ascii="宋体" w:hAnsi="宋体" w:eastAsia="宋体" w:cs="宋体"/>
                <w:bCs/>
                <w:szCs w:val="21"/>
              </w:rPr>
            </w:pPr>
            <w:r>
              <w:rPr>
                <w:rFonts w:hint="eastAsia" w:ascii="宋体" w:hAnsi="宋体" w:eastAsia="宋体" w:cs="宋体"/>
                <w:bCs/>
                <w:szCs w:val="21"/>
              </w:rPr>
              <w:t>1</w:t>
            </w:r>
          </w:p>
        </w:tc>
        <w:tc>
          <w:tcPr>
            <w:tcW w:w="1775" w:type="dxa"/>
            <w:tcBorders>
              <w:top w:val="single" w:color="auto" w:sz="4" w:space="0"/>
              <w:left w:val="single" w:color="auto" w:sz="4" w:space="0"/>
              <w:bottom w:val="single" w:color="auto" w:sz="4" w:space="0"/>
              <w:right w:val="single" w:color="auto" w:sz="4" w:space="0"/>
            </w:tcBorders>
          </w:tcPr>
          <w:p w14:paraId="11820ADF">
            <w:pPr>
              <w:spacing w:line="288" w:lineRule="auto"/>
              <w:jc w:val="center"/>
              <w:rPr>
                <w:rFonts w:hint="eastAsia" w:ascii="宋体" w:hAnsi="宋体" w:eastAsia="宋体" w:cs="宋体"/>
                <w:b/>
                <w:szCs w:val="21"/>
              </w:rPr>
            </w:pPr>
            <w:r>
              <w:rPr>
                <w:rFonts w:hint="eastAsia" w:ascii="宋体" w:hAnsi="宋体" w:eastAsia="宋体" w:cs="宋体"/>
                <w:b/>
                <w:szCs w:val="21"/>
              </w:rPr>
              <w:t>商务部分</w:t>
            </w:r>
          </w:p>
        </w:tc>
        <w:tc>
          <w:tcPr>
            <w:tcW w:w="6559" w:type="dxa"/>
            <w:tcBorders>
              <w:top w:val="single" w:color="auto" w:sz="4" w:space="0"/>
              <w:left w:val="single" w:color="auto" w:sz="4" w:space="0"/>
              <w:bottom w:val="single" w:color="auto" w:sz="4" w:space="0"/>
              <w:right w:val="single" w:color="auto" w:sz="4" w:space="0"/>
            </w:tcBorders>
          </w:tcPr>
          <w:p w14:paraId="1B67EADC">
            <w:pPr>
              <w:pStyle w:val="13"/>
              <w:spacing w:before="20" w:line="288" w:lineRule="auto"/>
              <w:ind w:left="1683" w:right="1683"/>
              <w:jc w:val="center"/>
              <w:rPr>
                <w:rFonts w:hint="eastAsia" w:ascii="宋体" w:hAnsi="宋体" w:eastAsia="宋体" w:cs="宋体"/>
                <w:szCs w:val="21"/>
              </w:rPr>
            </w:pPr>
            <w:r>
              <w:rPr>
                <w:rFonts w:hint="eastAsia" w:ascii="宋体" w:hAnsi="宋体" w:cs="宋体"/>
                <w:szCs w:val="21"/>
              </w:rPr>
              <w:t>50</w:t>
            </w:r>
          </w:p>
        </w:tc>
      </w:tr>
      <w:tr w14:paraId="16C02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Merge w:val="continue"/>
            <w:tcBorders>
              <w:left w:val="single" w:color="auto" w:sz="4" w:space="0"/>
              <w:right w:val="single" w:color="auto" w:sz="4" w:space="0"/>
            </w:tcBorders>
            <w:vAlign w:val="center"/>
          </w:tcPr>
          <w:p w14:paraId="106E4067">
            <w:pPr>
              <w:spacing w:line="288" w:lineRule="auto"/>
              <w:jc w:val="center"/>
              <w:rPr>
                <w:rFonts w:hint="eastAsia" w:ascii="宋体" w:hAnsi="宋体" w:eastAsia="宋体" w:cs="宋体"/>
                <w:bCs/>
                <w:szCs w:val="21"/>
              </w:rPr>
            </w:pPr>
          </w:p>
        </w:tc>
        <w:tc>
          <w:tcPr>
            <w:tcW w:w="1775" w:type="dxa"/>
            <w:tcBorders>
              <w:top w:val="single" w:color="auto" w:sz="4" w:space="0"/>
              <w:left w:val="single" w:color="auto" w:sz="4" w:space="0"/>
              <w:bottom w:val="single" w:color="auto" w:sz="4" w:space="0"/>
              <w:right w:val="single" w:color="auto" w:sz="4" w:space="0"/>
            </w:tcBorders>
          </w:tcPr>
          <w:p w14:paraId="04B5951B">
            <w:pPr>
              <w:spacing w:line="288" w:lineRule="auto"/>
              <w:jc w:val="center"/>
              <w:rPr>
                <w:rFonts w:hint="eastAsia" w:ascii="宋体" w:hAnsi="宋体" w:eastAsia="宋体" w:cs="宋体"/>
                <w:b/>
                <w:szCs w:val="21"/>
              </w:rPr>
            </w:pPr>
            <w:r>
              <w:rPr>
                <w:rFonts w:hint="eastAsia" w:ascii="宋体" w:hAnsi="宋体" w:eastAsia="宋体" w:cs="宋体"/>
                <w:szCs w:val="21"/>
              </w:rPr>
              <w:t>评分因素</w:t>
            </w:r>
          </w:p>
        </w:tc>
        <w:tc>
          <w:tcPr>
            <w:tcW w:w="6559" w:type="dxa"/>
            <w:tcBorders>
              <w:top w:val="single" w:color="auto" w:sz="4" w:space="0"/>
              <w:left w:val="single" w:color="auto" w:sz="4" w:space="0"/>
              <w:bottom w:val="single" w:color="auto" w:sz="4" w:space="0"/>
              <w:right w:val="single" w:color="auto" w:sz="4" w:space="0"/>
            </w:tcBorders>
          </w:tcPr>
          <w:p w14:paraId="4534FB5C">
            <w:pPr>
              <w:spacing w:line="288" w:lineRule="auto"/>
              <w:jc w:val="center"/>
              <w:rPr>
                <w:rFonts w:hint="eastAsia" w:ascii="宋体" w:hAnsi="宋体" w:eastAsia="宋体" w:cs="宋体"/>
                <w:b/>
                <w:bCs/>
                <w:szCs w:val="21"/>
              </w:rPr>
            </w:pPr>
            <w:r>
              <w:rPr>
                <w:rFonts w:hint="eastAsia" w:ascii="宋体" w:hAnsi="宋体" w:eastAsia="宋体" w:cs="宋体"/>
                <w:szCs w:val="21"/>
              </w:rPr>
              <w:t>评分准则</w:t>
            </w:r>
          </w:p>
        </w:tc>
      </w:tr>
      <w:tr w14:paraId="74F2C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705" w:type="dxa"/>
            <w:vMerge w:val="continue"/>
            <w:tcBorders>
              <w:left w:val="single" w:color="auto" w:sz="4" w:space="0"/>
              <w:right w:val="single" w:color="auto" w:sz="4" w:space="0"/>
            </w:tcBorders>
            <w:vAlign w:val="center"/>
          </w:tcPr>
          <w:p w14:paraId="3AFF0DF7">
            <w:pPr>
              <w:widowControl/>
              <w:spacing w:line="288" w:lineRule="auto"/>
              <w:jc w:val="left"/>
              <w:rPr>
                <w:rFonts w:hint="eastAsia" w:ascii="宋体" w:hAnsi="宋体" w:eastAsia="宋体" w:cs="宋体"/>
                <w:bCs/>
                <w:szCs w:val="21"/>
              </w:rPr>
            </w:pPr>
          </w:p>
        </w:tc>
        <w:tc>
          <w:tcPr>
            <w:tcW w:w="1775" w:type="dxa"/>
            <w:tcBorders>
              <w:top w:val="single" w:color="auto" w:sz="4" w:space="0"/>
              <w:left w:val="single" w:color="auto" w:sz="4" w:space="0"/>
              <w:bottom w:val="single" w:color="auto" w:sz="4" w:space="0"/>
              <w:right w:val="single" w:color="auto" w:sz="4" w:space="0"/>
            </w:tcBorders>
            <w:vAlign w:val="center"/>
          </w:tcPr>
          <w:p w14:paraId="2E7F182B">
            <w:pPr>
              <w:spacing w:line="288" w:lineRule="auto"/>
              <w:jc w:val="center"/>
              <w:rPr>
                <w:rFonts w:hint="eastAsia" w:ascii="宋体" w:hAnsi="宋体" w:eastAsia="宋体" w:cs="宋体"/>
                <w:szCs w:val="21"/>
              </w:rPr>
            </w:pPr>
            <w:r>
              <w:rPr>
                <w:rFonts w:hint="eastAsia" w:ascii="宋体" w:hAnsi="宋体" w:eastAsia="宋体" w:cs="宋体"/>
                <w:szCs w:val="21"/>
              </w:rPr>
              <w:t>投标报价</w:t>
            </w:r>
          </w:p>
        </w:tc>
        <w:tc>
          <w:tcPr>
            <w:tcW w:w="6559" w:type="dxa"/>
            <w:tcBorders>
              <w:top w:val="single" w:color="auto" w:sz="4" w:space="0"/>
              <w:left w:val="single" w:color="auto" w:sz="4" w:space="0"/>
              <w:bottom w:val="single" w:color="auto" w:sz="4" w:space="0"/>
              <w:right w:val="single" w:color="auto" w:sz="4" w:space="0"/>
            </w:tcBorders>
          </w:tcPr>
          <w:p w14:paraId="56A12224">
            <w:pPr>
              <w:spacing w:line="288" w:lineRule="auto"/>
              <w:ind w:firstLine="315" w:firstLineChars="150"/>
              <w:jc w:val="left"/>
              <w:rPr>
                <w:rFonts w:hint="eastAsia" w:ascii="宋体" w:hAnsi="宋体" w:eastAsia="宋体" w:cs="宋体"/>
                <w:szCs w:val="21"/>
              </w:rPr>
            </w:pPr>
            <w:r>
              <w:rPr>
                <w:rFonts w:hint="eastAsia" w:ascii="宋体" w:hAnsi="宋体" w:eastAsia="宋体" w:cs="宋体"/>
                <w:szCs w:val="21"/>
              </w:rPr>
              <w:t xml:space="preserve">采用低价优先法计算，即满足招标文件要求且投标价格最低的投标报价为评标基准价，其价格分为满分。其他投标人的价格分统一按照下列公式计算： </w:t>
            </w:r>
          </w:p>
          <w:p w14:paraId="50F8AE58">
            <w:pPr>
              <w:spacing w:line="288" w:lineRule="auto"/>
              <w:ind w:firstLine="315" w:firstLineChars="150"/>
              <w:jc w:val="left"/>
              <w:rPr>
                <w:rFonts w:hint="eastAsia" w:ascii="宋体" w:hAnsi="宋体" w:eastAsia="宋体" w:cs="宋体"/>
                <w:spacing w:val="-11"/>
                <w:szCs w:val="21"/>
              </w:rPr>
            </w:pPr>
            <w:r>
              <w:rPr>
                <w:rFonts w:hint="eastAsia" w:ascii="宋体" w:hAnsi="宋体" w:eastAsia="宋体" w:cs="宋体"/>
                <w:szCs w:val="21"/>
              </w:rPr>
              <w:t>投标报价得分=(评标基准价／投标报价)×100×</w:t>
            </w:r>
            <w:r>
              <w:rPr>
                <w:rFonts w:hint="eastAsia" w:ascii="宋体" w:hAnsi="宋体" w:cs="宋体"/>
                <w:szCs w:val="21"/>
              </w:rPr>
              <w:t>50</w:t>
            </w:r>
            <w:r>
              <w:rPr>
                <w:rFonts w:hint="eastAsia" w:ascii="宋体" w:hAnsi="宋体" w:eastAsia="宋体" w:cs="宋体"/>
                <w:szCs w:val="21"/>
              </w:rPr>
              <w:t>%</w:t>
            </w:r>
          </w:p>
        </w:tc>
      </w:tr>
      <w:tr w14:paraId="2ABD9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Merge w:val="restart"/>
            <w:tcBorders>
              <w:top w:val="single" w:color="auto" w:sz="4" w:space="0"/>
              <w:left w:val="single" w:color="auto" w:sz="4" w:space="0"/>
              <w:right w:val="single" w:color="auto" w:sz="4" w:space="0"/>
            </w:tcBorders>
            <w:vAlign w:val="center"/>
          </w:tcPr>
          <w:p w14:paraId="7FDB3060">
            <w:pPr>
              <w:spacing w:line="288"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2</w:t>
            </w:r>
          </w:p>
        </w:tc>
        <w:tc>
          <w:tcPr>
            <w:tcW w:w="1775" w:type="dxa"/>
            <w:tcBorders>
              <w:top w:val="single" w:color="auto" w:sz="4" w:space="0"/>
              <w:left w:val="single" w:color="auto" w:sz="4" w:space="0"/>
              <w:bottom w:val="single" w:color="auto" w:sz="4" w:space="0"/>
              <w:right w:val="single" w:color="auto" w:sz="4" w:space="0"/>
            </w:tcBorders>
          </w:tcPr>
          <w:p w14:paraId="17E4E532">
            <w:pPr>
              <w:spacing w:line="288" w:lineRule="auto"/>
              <w:jc w:val="center"/>
              <w:rPr>
                <w:rFonts w:hint="eastAsia" w:ascii="宋体" w:hAnsi="宋体" w:eastAsia="宋体" w:cs="宋体"/>
                <w:b/>
                <w:szCs w:val="21"/>
                <w:highlight w:val="none"/>
              </w:rPr>
            </w:pPr>
            <w:r>
              <w:rPr>
                <w:rFonts w:hint="eastAsia" w:ascii="宋体" w:hAnsi="宋体" w:cs="宋体"/>
                <w:b/>
                <w:szCs w:val="21"/>
                <w:highlight w:val="none"/>
              </w:rPr>
              <w:t>技术</w:t>
            </w:r>
            <w:r>
              <w:rPr>
                <w:rFonts w:hint="eastAsia" w:ascii="宋体" w:hAnsi="宋体" w:eastAsia="宋体" w:cs="宋体"/>
                <w:b/>
                <w:szCs w:val="21"/>
                <w:highlight w:val="none"/>
              </w:rPr>
              <w:t>部分</w:t>
            </w:r>
          </w:p>
        </w:tc>
        <w:tc>
          <w:tcPr>
            <w:tcW w:w="6559" w:type="dxa"/>
            <w:tcBorders>
              <w:top w:val="single" w:color="auto" w:sz="4" w:space="0"/>
              <w:left w:val="single" w:color="auto" w:sz="4" w:space="0"/>
              <w:bottom w:val="single" w:color="auto" w:sz="4" w:space="0"/>
              <w:right w:val="single" w:color="auto" w:sz="4" w:space="0"/>
            </w:tcBorders>
          </w:tcPr>
          <w:p w14:paraId="5A7C57D4">
            <w:pPr>
              <w:spacing w:line="288" w:lineRule="auto"/>
              <w:jc w:val="center"/>
              <w:rPr>
                <w:rFonts w:hint="eastAsia" w:ascii="宋体" w:hAnsi="宋体" w:eastAsia="宋体" w:cs="宋体"/>
                <w:b/>
                <w:szCs w:val="21"/>
                <w:highlight w:val="none"/>
              </w:rPr>
            </w:pPr>
            <w:r>
              <w:rPr>
                <w:rFonts w:hint="eastAsia" w:ascii="宋体" w:hAnsi="宋体" w:cs="宋体"/>
                <w:szCs w:val="21"/>
                <w:highlight w:val="none"/>
              </w:rPr>
              <w:t>30</w:t>
            </w:r>
          </w:p>
        </w:tc>
      </w:tr>
      <w:tr w14:paraId="4C4A0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Merge w:val="continue"/>
            <w:tcBorders>
              <w:left w:val="single" w:color="auto" w:sz="4" w:space="0"/>
              <w:right w:val="single" w:color="auto" w:sz="4" w:space="0"/>
            </w:tcBorders>
            <w:vAlign w:val="center"/>
          </w:tcPr>
          <w:p w14:paraId="2D5C622F">
            <w:pPr>
              <w:spacing w:line="288" w:lineRule="auto"/>
              <w:jc w:val="center"/>
              <w:rPr>
                <w:rFonts w:hint="eastAsia" w:ascii="宋体" w:hAnsi="宋体" w:eastAsia="宋体" w:cs="宋体"/>
                <w:bCs/>
                <w:szCs w:val="21"/>
                <w:highlight w:val="none"/>
              </w:rPr>
            </w:pPr>
          </w:p>
        </w:tc>
        <w:tc>
          <w:tcPr>
            <w:tcW w:w="1775" w:type="dxa"/>
            <w:tcBorders>
              <w:top w:val="single" w:color="auto" w:sz="4" w:space="0"/>
              <w:left w:val="single" w:color="auto" w:sz="4" w:space="0"/>
              <w:bottom w:val="single" w:color="auto" w:sz="4" w:space="0"/>
              <w:right w:val="single" w:color="auto" w:sz="4" w:space="0"/>
            </w:tcBorders>
          </w:tcPr>
          <w:p w14:paraId="2C02547E">
            <w:pPr>
              <w:spacing w:line="288" w:lineRule="auto"/>
              <w:jc w:val="center"/>
              <w:rPr>
                <w:rFonts w:hint="eastAsia" w:ascii="宋体" w:hAnsi="宋体" w:eastAsia="宋体" w:cs="宋体"/>
                <w:b/>
                <w:szCs w:val="21"/>
                <w:highlight w:val="none"/>
              </w:rPr>
            </w:pPr>
            <w:r>
              <w:rPr>
                <w:rFonts w:hint="eastAsia" w:ascii="宋体" w:hAnsi="宋体" w:eastAsia="宋体" w:cs="宋体"/>
                <w:szCs w:val="21"/>
                <w:highlight w:val="none"/>
              </w:rPr>
              <w:t>评分因素</w:t>
            </w:r>
          </w:p>
        </w:tc>
        <w:tc>
          <w:tcPr>
            <w:tcW w:w="6559" w:type="dxa"/>
            <w:tcBorders>
              <w:top w:val="single" w:color="auto" w:sz="4" w:space="0"/>
              <w:left w:val="single" w:color="auto" w:sz="4" w:space="0"/>
              <w:bottom w:val="single" w:color="auto" w:sz="4" w:space="0"/>
              <w:right w:val="single" w:color="auto" w:sz="4" w:space="0"/>
            </w:tcBorders>
          </w:tcPr>
          <w:p w14:paraId="6C0B70C6">
            <w:pPr>
              <w:spacing w:line="288" w:lineRule="auto"/>
              <w:jc w:val="center"/>
              <w:rPr>
                <w:rFonts w:hint="eastAsia" w:ascii="宋体" w:hAnsi="宋体" w:eastAsia="宋体" w:cs="宋体"/>
                <w:b/>
                <w:szCs w:val="21"/>
                <w:highlight w:val="none"/>
              </w:rPr>
            </w:pPr>
            <w:r>
              <w:rPr>
                <w:rFonts w:hint="eastAsia" w:ascii="宋体" w:hAnsi="宋体" w:eastAsia="宋体" w:cs="宋体"/>
                <w:szCs w:val="21"/>
                <w:highlight w:val="none"/>
              </w:rPr>
              <w:t>评分准则</w:t>
            </w:r>
          </w:p>
        </w:tc>
      </w:tr>
      <w:tr w14:paraId="601B9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705" w:type="dxa"/>
            <w:vMerge w:val="continue"/>
            <w:tcBorders>
              <w:left w:val="single" w:color="auto" w:sz="4" w:space="0"/>
              <w:right w:val="single" w:color="auto" w:sz="4" w:space="0"/>
            </w:tcBorders>
            <w:vAlign w:val="center"/>
          </w:tcPr>
          <w:p w14:paraId="1CE2B8D3">
            <w:pPr>
              <w:widowControl/>
              <w:spacing w:line="288" w:lineRule="auto"/>
              <w:jc w:val="left"/>
              <w:rPr>
                <w:rFonts w:hint="eastAsia" w:ascii="宋体" w:hAnsi="宋体" w:eastAsia="宋体" w:cs="宋体"/>
                <w:szCs w:val="21"/>
                <w:highlight w:val="none"/>
              </w:rPr>
            </w:pPr>
          </w:p>
        </w:tc>
        <w:tc>
          <w:tcPr>
            <w:tcW w:w="1775" w:type="dxa"/>
            <w:tcBorders>
              <w:top w:val="single" w:color="auto" w:sz="4" w:space="0"/>
              <w:left w:val="single" w:color="auto" w:sz="4" w:space="0"/>
              <w:bottom w:val="single" w:color="auto" w:sz="4" w:space="0"/>
              <w:right w:val="single" w:color="auto" w:sz="4" w:space="0"/>
            </w:tcBorders>
            <w:vAlign w:val="center"/>
          </w:tcPr>
          <w:p w14:paraId="4B9C1EEE">
            <w:pPr>
              <w:spacing w:line="288" w:lineRule="auto"/>
              <w:jc w:val="center"/>
              <w:rPr>
                <w:rFonts w:hint="eastAsia" w:ascii="宋体" w:hAnsi="宋体" w:eastAsia="宋体" w:cs="宋体"/>
                <w:szCs w:val="21"/>
                <w:highlight w:val="none"/>
              </w:rPr>
            </w:pPr>
            <w:r>
              <w:rPr>
                <w:rFonts w:hint="eastAsia" w:ascii="宋体" w:hAnsi="宋体" w:eastAsia="宋体" w:cs="宋体"/>
                <w:szCs w:val="21"/>
                <w:highlight w:val="none"/>
              </w:rPr>
              <w:t>项目重难点分析</w:t>
            </w:r>
          </w:p>
          <w:p w14:paraId="44F2CE93">
            <w:pPr>
              <w:spacing w:line="288" w:lineRule="auto"/>
              <w:jc w:val="center"/>
              <w:rPr>
                <w:rFonts w:hint="eastAsia" w:ascii="宋体" w:hAnsi="宋体" w:eastAsia="宋体" w:cs="宋体"/>
                <w:szCs w:val="21"/>
                <w:highlight w:val="none"/>
              </w:rPr>
            </w:pPr>
            <w:r>
              <w:rPr>
                <w:rFonts w:hint="eastAsia" w:ascii="宋体" w:hAnsi="宋体" w:cs="宋体"/>
                <w:szCs w:val="21"/>
                <w:highlight w:val="none"/>
              </w:rPr>
              <w:t>（5）</w:t>
            </w:r>
          </w:p>
        </w:tc>
        <w:tc>
          <w:tcPr>
            <w:tcW w:w="6559" w:type="dxa"/>
            <w:tcBorders>
              <w:top w:val="single" w:color="auto" w:sz="4" w:space="0"/>
              <w:left w:val="single" w:color="auto" w:sz="4" w:space="0"/>
              <w:bottom w:val="single" w:color="auto" w:sz="4" w:space="0"/>
              <w:right w:val="single" w:color="auto" w:sz="4" w:space="0"/>
            </w:tcBorders>
            <w:vAlign w:val="center"/>
          </w:tcPr>
          <w:p w14:paraId="765C9CD7">
            <w:pPr>
              <w:spacing w:line="288" w:lineRule="auto"/>
              <w:ind w:firstLine="315" w:firstLineChars="150"/>
              <w:jc w:val="left"/>
              <w:rPr>
                <w:rFonts w:hint="eastAsia" w:ascii="宋体" w:hAnsi="宋体" w:eastAsia="宋体" w:cs="宋体"/>
                <w:szCs w:val="21"/>
                <w:highlight w:val="none"/>
              </w:rPr>
            </w:pPr>
            <w:r>
              <w:rPr>
                <w:rFonts w:hint="eastAsia" w:ascii="宋体" w:hAnsi="宋体" w:eastAsia="宋体" w:cs="宋体"/>
                <w:szCs w:val="21"/>
                <w:highlight w:val="none"/>
              </w:rPr>
              <w:t>（一）评审内容：</w:t>
            </w:r>
          </w:p>
          <w:p w14:paraId="5A6B0169">
            <w:pPr>
              <w:spacing w:line="288" w:lineRule="auto"/>
              <w:ind w:firstLine="315" w:firstLineChars="150"/>
              <w:jc w:val="left"/>
              <w:rPr>
                <w:rFonts w:hint="eastAsia" w:ascii="宋体" w:hAnsi="宋体" w:eastAsia="宋体" w:cs="宋体"/>
                <w:szCs w:val="21"/>
                <w:highlight w:val="none"/>
              </w:rPr>
            </w:pPr>
            <w:r>
              <w:rPr>
                <w:rFonts w:hint="eastAsia" w:ascii="宋体" w:hAnsi="宋体" w:eastAsia="宋体" w:cs="宋体"/>
                <w:szCs w:val="21"/>
                <w:highlight w:val="none"/>
              </w:rPr>
              <w:t>给出项目施工的重难点的分析及应对措施、合理化建议。</w:t>
            </w:r>
          </w:p>
          <w:p w14:paraId="75E4440F">
            <w:pPr>
              <w:spacing w:line="288" w:lineRule="auto"/>
              <w:ind w:firstLine="315" w:firstLineChars="150"/>
              <w:jc w:val="left"/>
              <w:rPr>
                <w:rFonts w:hint="eastAsia" w:ascii="宋体" w:hAnsi="宋体" w:eastAsia="宋体" w:cs="宋体"/>
                <w:szCs w:val="21"/>
                <w:highlight w:val="none"/>
              </w:rPr>
            </w:pPr>
            <w:r>
              <w:rPr>
                <w:rFonts w:hint="eastAsia" w:ascii="宋体" w:hAnsi="宋体" w:eastAsia="宋体" w:cs="宋体"/>
                <w:szCs w:val="21"/>
                <w:highlight w:val="none"/>
              </w:rPr>
              <w:t>（二）评审标准：</w:t>
            </w:r>
          </w:p>
          <w:p w14:paraId="1EC9D06E">
            <w:pPr>
              <w:spacing w:line="288" w:lineRule="auto"/>
              <w:ind w:firstLine="315" w:firstLineChars="150"/>
              <w:jc w:val="left"/>
              <w:rPr>
                <w:rFonts w:hint="eastAsia" w:ascii="宋体" w:hAnsi="宋体" w:eastAsia="宋体" w:cs="宋体"/>
                <w:szCs w:val="21"/>
                <w:highlight w:val="none"/>
              </w:rPr>
            </w:pPr>
            <w:r>
              <w:rPr>
                <w:rFonts w:hint="eastAsia" w:ascii="宋体" w:hAnsi="宋体" w:eastAsia="宋体" w:cs="宋体"/>
                <w:szCs w:val="21"/>
                <w:highlight w:val="none"/>
              </w:rPr>
              <w:t>优（5分）：重难点分析全面、准确（如覆盖了材料垂直运输、劳动力组织、施工流水、环境保护等方面难点），应对措施具体、有针对性；</w:t>
            </w:r>
          </w:p>
          <w:p w14:paraId="5FC71617">
            <w:pPr>
              <w:spacing w:line="288" w:lineRule="auto"/>
              <w:ind w:firstLine="315" w:firstLineChars="150"/>
              <w:jc w:val="left"/>
              <w:rPr>
                <w:rFonts w:hint="eastAsia" w:ascii="宋体" w:hAnsi="宋体" w:eastAsia="宋体" w:cs="宋体"/>
                <w:szCs w:val="21"/>
                <w:highlight w:val="none"/>
              </w:rPr>
            </w:pPr>
            <w:r>
              <w:rPr>
                <w:rFonts w:hint="eastAsia" w:ascii="宋体" w:hAnsi="宋体" w:eastAsia="宋体" w:cs="宋体"/>
                <w:szCs w:val="21"/>
                <w:highlight w:val="none"/>
              </w:rPr>
              <w:t>良（3分）：重难点分析较为全面，应对措施基本可行，提出了合理化建议；</w:t>
            </w:r>
          </w:p>
          <w:p w14:paraId="65FFBF87">
            <w:pPr>
              <w:spacing w:line="288" w:lineRule="auto"/>
              <w:ind w:firstLine="315" w:firstLineChars="150"/>
              <w:jc w:val="left"/>
              <w:rPr>
                <w:rFonts w:hint="eastAsia" w:ascii="宋体" w:hAnsi="宋体" w:eastAsia="宋体" w:cs="宋体"/>
                <w:szCs w:val="21"/>
                <w:highlight w:val="none"/>
              </w:rPr>
            </w:pPr>
            <w:r>
              <w:rPr>
                <w:rFonts w:hint="eastAsia" w:ascii="宋体" w:hAnsi="宋体" w:eastAsia="宋体" w:cs="宋体"/>
                <w:szCs w:val="21"/>
                <w:highlight w:val="none"/>
              </w:rPr>
              <w:t>合格（2分）：能识别主要重难点，提出基本的应对措施。</w:t>
            </w:r>
          </w:p>
        </w:tc>
      </w:tr>
      <w:tr w14:paraId="7E4C6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705" w:type="dxa"/>
            <w:vMerge w:val="continue"/>
            <w:tcBorders>
              <w:left w:val="single" w:color="auto" w:sz="4" w:space="0"/>
              <w:right w:val="single" w:color="auto" w:sz="4" w:space="0"/>
            </w:tcBorders>
            <w:vAlign w:val="center"/>
          </w:tcPr>
          <w:p w14:paraId="5D09A229">
            <w:pPr>
              <w:widowControl/>
              <w:spacing w:line="288" w:lineRule="auto"/>
              <w:jc w:val="left"/>
              <w:rPr>
                <w:rFonts w:hint="eastAsia" w:ascii="宋体" w:hAnsi="宋体" w:eastAsia="宋体" w:cs="宋体"/>
                <w:szCs w:val="21"/>
                <w:highlight w:val="none"/>
              </w:rPr>
            </w:pPr>
          </w:p>
        </w:tc>
        <w:tc>
          <w:tcPr>
            <w:tcW w:w="1775" w:type="dxa"/>
            <w:tcBorders>
              <w:top w:val="single" w:color="auto" w:sz="4" w:space="0"/>
              <w:left w:val="single" w:color="auto" w:sz="4" w:space="0"/>
              <w:bottom w:val="single" w:color="auto" w:sz="4" w:space="0"/>
              <w:right w:val="single" w:color="auto" w:sz="4" w:space="0"/>
            </w:tcBorders>
            <w:vAlign w:val="center"/>
          </w:tcPr>
          <w:p w14:paraId="239585E9">
            <w:pPr>
              <w:spacing w:line="288" w:lineRule="auto"/>
              <w:jc w:val="center"/>
              <w:rPr>
                <w:rFonts w:ascii="Calibri" w:hAnsi="Calibri" w:cs="Times New Roman"/>
                <w:szCs w:val="21"/>
                <w:highlight w:val="none"/>
              </w:rPr>
            </w:pPr>
            <w:r>
              <w:rPr>
                <w:rFonts w:hint="eastAsia" w:ascii="Calibri" w:hAnsi="Calibri" w:cs="Times New Roman"/>
                <w:szCs w:val="21"/>
                <w:highlight w:val="none"/>
              </w:rPr>
              <w:t>安全管理方案</w:t>
            </w:r>
          </w:p>
          <w:p w14:paraId="19C4F398">
            <w:pPr>
              <w:spacing w:line="288" w:lineRule="auto"/>
              <w:jc w:val="center"/>
              <w:rPr>
                <w:rFonts w:hint="eastAsia" w:ascii="宋体" w:hAnsi="宋体" w:eastAsia="宋体" w:cs="宋体"/>
                <w:szCs w:val="21"/>
                <w:highlight w:val="none"/>
              </w:rPr>
            </w:pPr>
            <w:r>
              <w:rPr>
                <w:rFonts w:hint="eastAsia" w:ascii="Calibri" w:hAnsi="Calibri" w:cs="Times New Roman"/>
                <w:szCs w:val="21"/>
                <w:highlight w:val="none"/>
              </w:rPr>
              <w:t>（10）</w:t>
            </w:r>
          </w:p>
        </w:tc>
        <w:tc>
          <w:tcPr>
            <w:tcW w:w="6559" w:type="dxa"/>
            <w:tcBorders>
              <w:top w:val="single" w:color="auto" w:sz="4" w:space="0"/>
              <w:left w:val="single" w:color="auto" w:sz="4" w:space="0"/>
              <w:bottom w:val="single" w:color="auto" w:sz="4" w:space="0"/>
              <w:right w:val="single" w:color="auto" w:sz="4" w:space="0"/>
            </w:tcBorders>
            <w:vAlign w:val="center"/>
          </w:tcPr>
          <w:p w14:paraId="6037F3D1">
            <w:pPr>
              <w:spacing w:line="288" w:lineRule="auto"/>
              <w:ind w:firstLine="315" w:firstLineChars="150"/>
              <w:jc w:val="left"/>
              <w:rPr>
                <w:rFonts w:hint="eastAsia" w:ascii="宋体" w:hAnsi="宋体" w:eastAsia="宋体" w:cs="宋体"/>
                <w:szCs w:val="21"/>
                <w:highlight w:val="none"/>
              </w:rPr>
            </w:pPr>
            <w:r>
              <w:rPr>
                <w:rFonts w:hint="eastAsia" w:ascii="宋体" w:hAnsi="宋体" w:eastAsia="宋体" w:cs="宋体"/>
                <w:szCs w:val="21"/>
                <w:highlight w:val="none"/>
              </w:rPr>
              <w:t xml:space="preserve">（一）评审内容： </w:t>
            </w:r>
          </w:p>
          <w:p w14:paraId="311DADDD">
            <w:pPr>
              <w:spacing w:line="288" w:lineRule="auto"/>
              <w:ind w:firstLine="315" w:firstLineChars="150"/>
              <w:jc w:val="left"/>
              <w:rPr>
                <w:rFonts w:hint="eastAsia" w:ascii="宋体" w:hAnsi="宋体" w:eastAsia="宋体" w:cs="宋体"/>
                <w:szCs w:val="21"/>
                <w:highlight w:val="none"/>
              </w:rPr>
            </w:pPr>
            <w:r>
              <w:rPr>
                <w:rFonts w:hint="eastAsia" w:ascii="宋体" w:hAnsi="宋体" w:eastAsia="宋体" w:cs="宋体"/>
                <w:highlight w:val="none"/>
              </w:rPr>
              <w:t>明确安全文明施工管理目标，安全文明施工管理体系，安全文明控制点、安全文明管理措施、应急管理等。</w:t>
            </w:r>
          </w:p>
          <w:p w14:paraId="50BE7B63">
            <w:pPr>
              <w:spacing w:line="288" w:lineRule="auto"/>
              <w:ind w:firstLine="315" w:firstLineChars="150"/>
              <w:jc w:val="left"/>
              <w:rPr>
                <w:rFonts w:hint="eastAsia" w:ascii="宋体" w:hAnsi="宋体" w:eastAsia="宋体" w:cs="宋体"/>
                <w:szCs w:val="21"/>
                <w:highlight w:val="none"/>
              </w:rPr>
            </w:pPr>
            <w:r>
              <w:rPr>
                <w:rFonts w:hint="eastAsia" w:ascii="宋体" w:hAnsi="宋体" w:eastAsia="宋体" w:cs="宋体"/>
                <w:szCs w:val="21"/>
                <w:highlight w:val="none"/>
              </w:rPr>
              <w:t xml:space="preserve">（二）评审标准： </w:t>
            </w:r>
          </w:p>
          <w:p w14:paraId="6A934768">
            <w:pPr>
              <w:spacing w:line="288" w:lineRule="auto"/>
              <w:ind w:firstLine="315" w:firstLineChars="150"/>
              <w:jc w:val="left"/>
              <w:rPr>
                <w:rFonts w:hint="eastAsia" w:ascii="宋体" w:hAnsi="宋体" w:eastAsia="宋体" w:cs="宋体"/>
                <w:szCs w:val="21"/>
                <w:highlight w:val="none"/>
              </w:rPr>
            </w:pPr>
            <w:r>
              <w:rPr>
                <w:rFonts w:hint="eastAsia" w:ascii="宋体" w:hAnsi="宋体" w:eastAsia="宋体" w:cs="宋体"/>
                <w:szCs w:val="21"/>
                <w:highlight w:val="none"/>
              </w:rPr>
              <w:t>优（10分）：方案内容全面、系统、具体，紧密结合本项目改造工程特点，具有高度的针对性、前瞻性和可操作性；</w:t>
            </w:r>
          </w:p>
          <w:p w14:paraId="1D4E94BB">
            <w:pPr>
              <w:spacing w:line="288" w:lineRule="auto"/>
              <w:ind w:firstLine="315" w:firstLineChars="150"/>
              <w:jc w:val="left"/>
              <w:rPr>
                <w:rFonts w:hint="eastAsia" w:ascii="宋体" w:hAnsi="宋体" w:eastAsia="宋体" w:cs="宋体"/>
                <w:szCs w:val="21"/>
                <w:highlight w:val="none"/>
              </w:rPr>
            </w:pPr>
            <w:r>
              <w:rPr>
                <w:rFonts w:hint="eastAsia" w:ascii="宋体" w:hAnsi="宋体" w:eastAsia="宋体" w:cs="宋体"/>
                <w:szCs w:val="21"/>
                <w:highlight w:val="none"/>
              </w:rPr>
              <w:t>良（6分）：方案内容较为完整，符合规范要求，能覆盖主要安全管理方面，具有一定可操作性；</w:t>
            </w:r>
          </w:p>
          <w:p w14:paraId="37B4568D">
            <w:pPr>
              <w:spacing w:line="288" w:lineRule="auto"/>
              <w:ind w:firstLine="315" w:firstLineChars="150"/>
              <w:jc w:val="left"/>
              <w:rPr>
                <w:rFonts w:hint="eastAsia" w:ascii="宋体" w:hAnsi="宋体" w:eastAsia="宋体" w:cs="宋体"/>
                <w:szCs w:val="21"/>
                <w:highlight w:val="none"/>
              </w:rPr>
            </w:pPr>
            <w:r>
              <w:rPr>
                <w:rFonts w:hint="eastAsia" w:ascii="宋体" w:hAnsi="宋体" w:eastAsia="宋体" w:cs="宋体"/>
                <w:szCs w:val="21"/>
                <w:highlight w:val="none"/>
              </w:rPr>
              <w:t>合格（3分）：方案内容基本满足招标文件要求，框架尚存，但缺乏深度、具体内容和针对性，可操作性一般。</w:t>
            </w:r>
          </w:p>
        </w:tc>
      </w:tr>
      <w:tr w14:paraId="7B140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705" w:type="dxa"/>
            <w:tcBorders>
              <w:left w:val="single" w:color="auto" w:sz="4" w:space="0"/>
              <w:right w:val="single" w:color="auto" w:sz="4" w:space="0"/>
            </w:tcBorders>
            <w:vAlign w:val="center"/>
          </w:tcPr>
          <w:p w14:paraId="2188343F">
            <w:pPr>
              <w:widowControl/>
              <w:spacing w:line="288" w:lineRule="auto"/>
              <w:jc w:val="left"/>
              <w:rPr>
                <w:rFonts w:hint="eastAsia" w:ascii="宋体" w:hAnsi="宋体" w:eastAsia="宋体" w:cs="宋体"/>
                <w:szCs w:val="21"/>
                <w:highlight w:val="none"/>
              </w:rPr>
            </w:pPr>
          </w:p>
        </w:tc>
        <w:tc>
          <w:tcPr>
            <w:tcW w:w="1775" w:type="dxa"/>
            <w:tcBorders>
              <w:top w:val="single" w:color="auto" w:sz="4" w:space="0"/>
              <w:left w:val="single" w:color="auto" w:sz="4" w:space="0"/>
              <w:bottom w:val="single" w:color="auto" w:sz="4" w:space="0"/>
              <w:right w:val="single" w:color="auto" w:sz="4" w:space="0"/>
            </w:tcBorders>
            <w:vAlign w:val="center"/>
          </w:tcPr>
          <w:p w14:paraId="21FE3BF5">
            <w:pPr>
              <w:spacing w:line="288" w:lineRule="auto"/>
              <w:jc w:val="center"/>
              <w:rPr>
                <w:rFonts w:ascii="Calibri" w:hAnsi="Calibri" w:cs="Times New Roman"/>
                <w:szCs w:val="21"/>
                <w:highlight w:val="none"/>
              </w:rPr>
            </w:pPr>
            <w:r>
              <w:rPr>
                <w:rFonts w:hint="eastAsia" w:ascii="Calibri" w:hAnsi="Calibri" w:cs="Times New Roman"/>
                <w:szCs w:val="21"/>
                <w:highlight w:val="none"/>
              </w:rPr>
              <w:t>质量管理方案</w:t>
            </w:r>
          </w:p>
          <w:p w14:paraId="48DA5FC3">
            <w:pPr>
              <w:spacing w:line="288" w:lineRule="auto"/>
              <w:jc w:val="center"/>
              <w:rPr>
                <w:rFonts w:ascii="Calibri" w:hAnsi="Calibri" w:cs="Times New Roman"/>
                <w:szCs w:val="21"/>
                <w:highlight w:val="none"/>
              </w:rPr>
            </w:pPr>
            <w:r>
              <w:rPr>
                <w:rFonts w:hint="eastAsia" w:ascii="Calibri" w:hAnsi="Calibri" w:cs="Times New Roman"/>
                <w:szCs w:val="21"/>
                <w:highlight w:val="none"/>
              </w:rPr>
              <w:t>（5）</w:t>
            </w:r>
          </w:p>
        </w:tc>
        <w:tc>
          <w:tcPr>
            <w:tcW w:w="6559" w:type="dxa"/>
            <w:tcBorders>
              <w:top w:val="single" w:color="auto" w:sz="4" w:space="0"/>
              <w:left w:val="single" w:color="auto" w:sz="4" w:space="0"/>
              <w:bottom w:val="single" w:color="auto" w:sz="4" w:space="0"/>
              <w:right w:val="single" w:color="auto" w:sz="4" w:space="0"/>
            </w:tcBorders>
            <w:vAlign w:val="center"/>
          </w:tcPr>
          <w:p w14:paraId="4DCB23FB">
            <w:pPr>
              <w:spacing w:line="288" w:lineRule="auto"/>
              <w:ind w:firstLine="315" w:firstLineChars="150"/>
              <w:jc w:val="left"/>
              <w:rPr>
                <w:rFonts w:hint="eastAsia" w:ascii="宋体" w:hAnsi="宋体" w:eastAsia="宋体" w:cs="宋体"/>
                <w:szCs w:val="21"/>
                <w:highlight w:val="none"/>
              </w:rPr>
            </w:pPr>
            <w:r>
              <w:rPr>
                <w:rFonts w:hint="eastAsia" w:ascii="宋体" w:hAnsi="宋体" w:eastAsia="宋体" w:cs="宋体"/>
                <w:szCs w:val="21"/>
                <w:highlight w:val="none"/>
              </w:rPr>
              <w:t xml:space="preserve">（一）评审内容： </w:t>
            </w:r>
          </w:p>
          <w:p w14:paraId="68233EB1">
            <w:pPr>
              <w:spacing w:line="288" w:lineRule="auto"/>
              <w:ind w:firstLine="315" w:firstLineChars="150"/>
              <w:jc w:val="left"/>
              <w:rPr>
                <w:rFonts w:hint="eastAsia" w:ascii="宋体" w:hAnsi="宋体" w:eastAsia="宋体" w:cs="宋体"/>
                <w:szCs w:val="21"/>
                <w:highlight w:val="none"/>
              </w:rPr>
            </w:pPr>
            <w:r>
              <w:rPr>
                <w:rFonts w:hint="eastAsia" w:ascii="宋体" w:hAnsi="宋体" w:eastAsia="宋体" w:cs="宋体"/>
                <w:highlight w:val="none"/>
              </w:rPr>
              <w:t>明确质量管理目标，质量管理体系，质量控制点及质量管理措施等。</w:t>
            </w:r>
          </w:p>
          <w:p w14:paraId="11C91F11">
            <w:pPr>
              <w:spacing w:line="288" w:lineRule="auto"/>
              <w:ind w:firstLine="315" w:firstLineChars="150"/>
              <w:jc w:val="left"/>
              <w:rPr>
                <w:rFonts w:hint="eastAsia" w:ascii="宋体" w:hAnsi="宋体" w:eastAsia="宋体" w:cs="宋体"/>
                <w:szCs w:val="21"/>
                <w:highlight w:val="none"/>
              </w:rPr>
            </w:pPr>
            <w:r>
              <w:rPr>
                <w:rFonts w:hint="eastAsia" w:ascii="宋体" w:hAnsi="宋体" w:eastAsia="宋体" w:cs="宋体"/>
                <w:szCs w:val="21"/>
                <w:highlight w:val="none"/>
              </w:rPr>
              <w:t xml:space="preserve">（二）评审标准： </w:t>
            </w:r>
          </w:p>
          <w:p w14:paraId="1ADAEF45">
            <w:pPr>
              <w:spacing w:line="288" w:lineRule="auto"/>
              <w:ind w:firstLine="315" w:firstLineChars="150"/>
              <w:jc w:val="left"/>
              <w:rPr>
                <w:rFonts w:hint="eastAsia" w:ascii="宋体" w:hAnsi="宋体" w:eastAsia="宋体" w:cs="宋体"/>
                <w:szCs w:val="21"/>
                <w:highlight w:val="none"/>
              </w:rPr>
            </w:pPr>
            <w:r>
              <w:rPr>
                <w:rFonts w:hint="eastAsia" w:ascii="宋体" w:hAnsi="宋体" w:eastAsia="宋体" w:cs="宋体"/>
                <w:szCs w:val="21"/>
                <w:highlight w:val="none"/>
              </w:rPr>
              <w:t>优（5分）：方案充分体现监理单位的专业性，内容全面、系统、深入，紧扣本项目</w:t>
            </w:r>
            <w:r>
              <w:rPr>
                <w:rFonts w:hint="eastAsia" w:ascii="宋体" w:hAnsi="宋体" w:eastAsia="宋体" w:cs="宋体"/>
                <w:szCs w:val="21"/>
                <w:highlight w:val="none"/>
                <w:lang w:val="en-US" w:eastAsia="zh-CN"/>
              </w:rPr>
              <w:t>改造</w:t>
            </w:r>
            <w:r>
              <w:rPr>
                <w:rFonts w:hint="eastAsia" w:ascii="宋体" w:hAnsi="宋体" w:eastAsia="宋体" w:cs="宋体"/>
                <w:szCs w:val="21"/>
                <w:highlight w:val="none"/>
              </w:rPr>
              <w:t>工程特点与难点，预控措施得力，过程控制严谨，验收标准明确，具有针对性；</w:t>
            </w:r>
          </w:p>
          <w:p w14:paraId="57198959">
            <w:pPr>
              <w:spacing w:line="288" w:lineRule="auto"/>
              <w:ind w:firstLine="315" w:firstLineChars="150"/>
              <w:jc w:val="left"/>
              <w:rPr>
                <w:rFonts w:hint="eastAsia" w:ascii="宋体" w:hAnsi="宋体" w:eastAsia="宋体" w:cs="宋体"/>
                <w:szCs w:val="21"/>
                <w:highlight w:val="none"/>
              </w:rPr>
            </w:pPr>
            <w:r>
              <w:rPr>
                <w:rFonts w:hint="eastAsia" w:ascii="宋体" w:hAnsi="宋体" w:eastAsia="宋体" w:cs="宋体"/>
                <w:szCs w:val="21"/>
                <w:highlight w:val="none"/>
              </w:rPr>
              <w:t>良（3分）：方案内容较为完整，符合监理规范的基本要求，覆盖了质量管理的主要方面，但深度、精细度或与项目特点的结合度有待加强；</w:t>
            </w:r>
          </w:p>
          <w:p w14:paraId="0D1E7337">
            <w:pPr>
              <w:spacing w:line="288" w:lineRule="auto"/>
              <w:ind w:firstLine="315" w:firstLineChars="150"/>
              <w:jc w:val="left"/>
              <w:rPr>
                <w:rFonts w:hint="eastAsia" w:ascii="宋体" w:hAnsi="宋体" w:eastAsia="宋体" w:cs="宋体"/>
                <w:szCs w:val="21"/>
                <w:highlight w:val="none"/>
              </w:rPr>
            </w:pPr>
            <w:r>
              <w:rPr>
                <w:rFonts w:hint="eastAsia" w:ascii="宋体" w:hAnsi="宋体" w:eastAsia="宋体" w:cs="宋体"/>
                <w:szCs w:val="21"/>
                <w:highlight w:val="none"/>
              </w:rPr>
              <w:t>合格（2分）：方案内容仅达到最低要求，框架性内容居多，缺乏深度和具体措施，可操作性差，未能充分体现监理工作的独立监控作用。</w:t>
            </w:r>
          </w:p>
        </w:tc>
      </w:tr>
      <w:tr w14:paraId="01FAE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705" w:type="dxa"/>
            <w:tcBorders>
              <w:left w:val="single" w:color="auto" w:sz="4" w:space="0"/>
              <w:right w:val="single" w:color="auto" w:sz="4" w:space="0"/>
            </w:tcBorders>
            <w:vAlign w:val="center"/>
          </w:tcPr>
          <w:p w14:paraId="12D3E8A1">
            <w:pPr>
              <w:widowControl/>
              <w:spacing w:line="288" w:lineRule="auto"/>
              <w:jc w:val="left"/>
              <w:rPr>
                <w:rFonts w:hint="eastAsia" w:ascii="宋体" w:hAnsi="宋体" w:eastAsia="宋体" w:cs="宋体"/>
                <w:szCs w:val="21"/>
                <w:highlight w:val="none"/>
              </w:rPr>
            </w:pPr>
          </w:p>
        </w:tc>
        <w:tc>
          <w:tcPr>
            <w:tcW w:w="1775" w:type="dxa"/>
            <w:tcBorders>
              <w:top w:val="single" w:color="auto" w:sz="4" w:space="0"/>
              <w:left w:val="single" w:color="auto" w:sz="4" w:space="0"/>
              <w:bottom w:val="single" w:color="auto" w:sz="4" w:space="0"/>
              <w:right w:val="single" w:color="auto" w:sz="4" w:space="0"/>
            </w:tcBorders>
            <w:vAlign w:val="center"/>
          </w:tcPr>
          <w:p w14:paraId="6ED22D2F">
            <w:pPr>
              <w:spacing w:line="288" w:lineRule="auto"/>
              <w:jc w:val="center"/>
              <w:rPr>
                <w:rFonts w:ascii="Calibri" w:hAnsi="Calibri" w:cs="Times New Roman"/>
                <w:szCs w:val="21"/>
                <w:highlight w:val="none"/>
              </w:rPr>
            </w:pPr>
            <w:r>
              <w:rPr>
                <w:rFonts w:hint="eastAsia" w:ascii="Calibri" w:hAnsi="Calibri" w:cs="Times New Roman"/>
                <w:szCs w:val="21"/>
                <w:highlight w:val="none"/>
              </w:rPr>
              <w:t>进度管理方案</w:t>
            </w:r>
          </w:p>
          <w:p w14:paraId="177C4EE1">
            <w:pPr>
              <w:spacing w:line="288" w:lineRule="auto"/>
              <w:jc w:val="center"/>
              <w:rPr>
                <w:rFonts w:ascii="Calibri" w:hAnsi="Calibri" w:cs="Times New Roman"/>
                <w:szCs w:val="21"/>
                <w:highlight w:val="none"/>
              </w:rPr>
            </w:pPr>
            <w:r>
              <w:rPr>
                <w:rFonts w:hint="eastAsia" w:ascii="Calibri" w:hAnsi="Calibri" w:cs="Times New Roman"/>
                <w:szCs w:val="21"/>
                <w:highlight w:val="none"/>
              </w:rPr>
              <w:t>（10）</w:t>
            </w:r>
          </w:p>
        </w:tc>
        <w:tc>
          <w:tcPr>
            <w:tcW w:w="6559" w:type="dxa"/>
            <w:tcBorders>
              <w:top w:val="single" w:color="auto" w:sz="4" w:space="0"/>
              <w:left w:val="single" w:color="auto" w:sz="4" w:space="0"/>
              <w:bottom w:val="single" w:color="auto" w:sz="4" w:space="0"/>
              <w:right w:val="single" w:color="auto" w:sz="4" w:space="0"/>
            </w:tcBorders>
            <w:vAlign w:val="center"/>
          </w:tcPr>
          <w:p w14:paraId="6288D94B">
            <w:pPr>
              <w:spacing w:line="288" w:lineRule="auto"/>
              <w:ind w:firstLine="315" w:firstLineChars="150"/>
              <w:jc w:val="left"/>
              <w:rPr>
                <w:rFonts w:hint="eastAsia" w:ascii="宋体" w:hAnsi="宋体" w:eastAsia="宋体" w:cs="宋体"/>
                <w:szCs w:val="21"/>
                <w:highlight w:val="none"/>
              </w:rPr>
            </w:pPr>
            <w:r>
              <w:rPr>
                <w:rFonts w:hint="eastAsia" w:ascii="宋体" w:hAnsi="宋体" w:eastAsia="宋体" w:cs="宋体"/>
                <w:szCs w:val="21"/>
                <w:highlight w:val="none"/>
              </w:rPr>
              <w:t xml:space="preserve">（一）评审内容： </w:t>
            </w:r>
          </w:p>
          <w:p w14:paraId="7B44A4C3">
            <w:pPr>
              <w:spacing w:line="288" w:lineRule="auto"/>
              <w:ind w:firstLine="315" w:firstLineChars="150"/>
              <w:jc w:val="left"/>
              <w:rPr>
                <w:rFonts w:hint="eastAsia" w:ascii="宋体" w:hAnsi="宋体" w:eastAsia="宋体" w:cs="宋体"/>
                <w:szCs w:val="21"/>
                <w:highlight w:val="none"/>
              </w:rPr>
            </w:pPr>
            <w:r>
              <w:rPr>
                <w:rFonts w:hint="eastAsia" w:ascii="宋体" w:hAnsi="宋体" w:eastAsia="宋体" w:cs="宋体"/>
                <w:highlight w:val="none"/>
              </w:rPr>
              <w:t>明确项目进度目标，进度控制点，进度控制措施等。</w:t>
            </w:r>
          </w:p>
          <w:p w14:paraId="1C237D09">
            <w:pPr>
              <w:spacing w:line="288" w:lineRule="auto"/>
              <w:ind w:firstLine="315" w:firstLineChars="150"/>
              <w:jc w:val="left"/>
              <w:rPr>
                <w:rFonts w:hint="eastAsia" w:ascii="宋体" w:hAnsi="宋体" w:eastAsia="宋体" w:cs="宋体"/>
                <w:szCs w:val="21"/>
                <w:highlight w:val="none"/>
              </w:rPr>
            </w:pPr>
            <w:r>
              <w:rPr>
                <w:rFonts w:hint="eastAsia" w:ascii="宋体" w:hAnsi="宋体" w:eastAsia="宋体" w:cs="宋体"/>
                <w:szCs w:val="21"/>
                <w:highlight w:val="none"/>
              </w:rPr>
              <w:t xml:space="preserve">（二）评审标准： </w:t>
            </w:r>
          </w:p>
          <w:p w14:paraId="0CAB8DAE">
            <w:pPr>
              <w:spacing w:line="288" w:lineRule="auto"/>
              <w:ind w:firstLine="315" w:firstLineChars="150"/>
              <w:jc w:val="left"/>
              <w:rPr>
                <w:rFonts w:hint="eastAsia" w:ascii="宋体" w:hAnsi="宋体" w:eastAsia="宋体" w:cs="宋体"/>
                <w:szCs w:val="21"/>
                <w:highlight w:val="none"/>
              </w:rPr>
            </w:pPr>
            <w:r>
              <w:rPr>
                <w:rFonts w:hint="eastAsia" w:ascii="宋体" w:hAnsi="宋体" w:eastAsia="宋体" w:cs="宋体"/>
                <w:szCs w:val="21"/>
                <w:highlight w:val="none"/>
              </w:rPr>
              <w:t>优（10分）：方案全面、系统、深入，充分体现监理单位在进度控制上的主动性和预见性。紧密结合本项目</w:t>
            </w:r>
            <w:r>
              <w:rPr>
                <w:rFonts w:hint="eastAsia" w:ascii="宋体" w:hAnsi="宋体" w:eastAsia="宋体" w:cs="宋体"/>
                <w:szCs w:val="21"/>
                <w:highlight w:val="none"/>
                <w:lang w:val="en-US" w:eastAsia="zh-CN"/>
              </w:rPr>
              <w:t>改造</w:t>
            </w:r>
            <w:r>
              <w:rPr>
                <w:rFonts w:hint="eastAsia" w:ascii="宋体" w:hAnsi="宋体" w:eastAsia="宋体" w:cs="宋体"/>
                <w:szCs w:val="21"/>
                <w:highlight w:val="none"/>
              </w:rPr>
              <w:t>工程特点，对进度风险的识别全面，监控手段先进，纠偏措施得力。</w:t>
            </w:r>
          </w:p>
          <w:p w14:paraId="01AA8E83">
            <w:pPr>
              <w:spacing w:line="288" w:lineRule="auto"/>
              <w:ind w:firstLine="315" w:firstLineChars="150"/>
              <w:jc w:val="left"/>
              <w:rPr>
                <w:rFonts w:hint="eastAsia" w:ascii="宋体" w:hAnsi="宋体" w:eastAsia="宋体" w:cs="宋体"/>
                <w:szCs w:val="21"/>
                <w:highlight w:val="none"/>
              </w:rPr>
            </w:pPr>
            <w:r>
              <w:rPr>
                <w:rFonts w:hint="eastAsia" w:ascii="宋体" w:hAnsi="宋体" w:eastAsia="宋体" w:cs="宋体"/>
                <w:szCs w:val="21"/>
                <w:highlight w:val="none"/>
              </w:rPr>
              <w:t>良（8分）：方案内容较为完整，符合监理规范对进度控制的基本要求，覆盖了主要监控环节，具有一定的可操作性，但深度、前瞻性或措施的精细化程度不足。</w:t>
            </w:r>
          </w:p>
          <w:p w14:paraId="1E6828C0">
            <w:pPr>
              <w:spacing w:line="288" w:lineRule="auto"/>
              <w:ind w:firstLine="315" w:firstLineChars="150"/>
              <w:jc w:val="left"/>
              <w:rPr>
                <w:rFonts w:hint="eastAsia" w:ascii="宋体" w:hAnsi="宋体" w:eastAsia="宋体" w:cs="宋体"/>
                <w:highlight w:val="none"/>
              </w:rPr>
            </w:pPr>
            <w:r>
              <w:rPr>
                <w:rFonts w:hint="eastAsia" w:ascii="宋体" w:hAnsi="宋体" w:eastAsia="宋体" w:cs="宋体"/>
                <w:szCs w:val="21"/>
                <w:highlight w:val="none"/>
              </w:rPr>
              <w:t>合格（5分）：方案内容仅达到最低要求，框架性、原则性内容居多，缺乏具体、可操作的监控措施，难以有效指导实际监理工作。</w:t>
            </w:r>
          </w:p>
        </w:tc>
      </w:tr>
      <w:tr w14:paraId="41E67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705" w:type="dxa"/>
            <w:vMerge w:val="restart"/>
            <w:tcBorders>
              <w:left w:val="single" w:color="auto" w:sz="4" w:space="0"/>
              <w:right w:val="single" w:color="auto" w:sz="4" w:space="0"/>
            </w:tcBorders>
            <w:vAlign w:val="center"/>
          </w:tcPr>
          <w:p w14:paraId="4F0DE25B">
            <w:pPr>
              <w:widowControl/>
              <w:spacing w:line="288" w:lineRule="auto"/>
              <w:ind w:firstLine="210" w:firstLineChars="100"/>
              <w:jc w:val="left"/>
              <w:rPr>
                <w:rFonts w:hint="eastAsia" w:ascii="宋体" w:hAnsi="宋体" w:eastAsia="宋体" w:cs="宋体"/>
                <w:szCs w:val="21"/>
                <w:highlight w:val="none"/>
              </w:rPr>
            </w:pPr>
            <w:r>
              <w:rPr>
                <w:rFonts w:hint="eastAsia" w:ascii="宋体" w:hAnsi="宋体" w:eastAsia="宋体" w:cs="宋体"/>
                <w:szCs w:val="21"/>
                <w:highlight w:val="none"/>
              </w:rPr>
              <w:t>3</w:t>
            </w:r>
          </w:p>
        </w:tc>
        <w:tc>
          <w:tcPr>
            <w:tcW w:w="1775" w:type="dxa"/>
            <w:tcBorders>
              <w:top w:val="single" w:color="auto" w:sz="4" w:space="0"/>
              <w:left w:val="single" w:color="auto" w:sz="4" w:space="0"/>
              <w:bottom w:val="single" w:color="auto" w:sz="4" w:space="0"/>
              <w:right w:val="single" w:color="auto" w:sz="4" w:space="0"/>
            </w:tcBorders>
          </w:tcPr>
          <w:p w14:paraId="63B1E277">
            <w:pPr>
              <w:spacing w:line="288" w:lineRule="auto"/>
              <w:jc w:val="center"/>
              <w:rPr>
                <w:rFonts w:hint="eastAsia" w:ascii="宋体" w:hAnsi="宋体" w:eastAsia="宋体" w:cs="宋体"/>
                <w:szCs w:val="21"/>
                <w:highlight w:val="none"/>
              </w:rPr>
            </w:pPr>
            <w:r>
              <w:rPr>
                <w:rFonts w:hint="eastAsia" w:ascii="宋体" w:hAnsi="宋体" w:eastAsia="宋体" w:cs="宋体"/>
                <w:b/>
                <w:szCs w:val="21"/>
                <w:highlight w:val="none"/>
              </w:rPr>
              <w:t>资信部分</w:t>
            </w:r>
          </w:p>
        </w:tc>
        <w:tc>
          <w:tcPr>
            <w:tcW w:w="6559" w:type="dxa"/>
            <w:tcBorders>
              <w:top w:val="single" w:color="auto" w:sz="4" w:space="0"/>
              <w:left w:val="single" w:color="auto" w:sz="4" w:space="0"/>
              <w:bottom w:val="single" w:color="auto" w:sz="4" w:space="0"/>
              <w:right w:val="single" w:color="auto" w:sz="4" w:space="0"/>
            </w:tcBorders>
          </w:tcPr>
          <w:p w14:paraId="2B633FC9">
            <w:pPr>
              <w:spacing w:line="288" w:lineRule="auto"/>
              <w:jc w:val="center"/>
              <w:rPr>
                <w:rFonts w:hint="eastAsia" w:ascii="宋体" w:hAnsi="宋体" w:eastAsia="宋体" w:cs="宋体"/>
                <w:szCs w:val="21"/>
                <w:highlight w:val="none"/>
              </w:rPr>
            </w:pPr>
            <w:r>
              <w:rPr>
                <w:rFonts w:hint="eastAsia" w:ascii="宋体" w:hAnsi="宋体" w:cs="宋体"/>
                <w:szCs w:val="21"/>
                <w:highlight w:val="none"/>
              </w:rPr>
              <w:t>20</w:t>
            </w:r>
          </w:p>
        </w:tc>
      </w:tr>
      <w:tr w14:paraId="5E827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705" w:type="dxa"/>
            <w:vMerge w:val="continue"/>
            <w:tcBorders>
              <w:left w:val="single" w:color="auto" w:sz="4" w:space="0"/>
              <w:right w:val="single" w:color="auto" w:sz="4" w:space="0"/>
            </w:tcBorders>
            <w:vAlign w:val="center"/>
          </w:tcPr>
          <w:p w14:paraId="00410624">
            <w:pPr>
              <w:widowControl/>
              <w:spacing w:line="288" w:lineRule="auto"/>
              <w:jc w:val="left"/>
              <w:rPr>
                <w:rFonts w:hint="eastAsia" w:ascii="宋体" w:hAnsi="宋体" w:eastAsia="宋体" w:cs="宋体"/>
                <w:szCs w:val="21"/>
                <w:highlight w:val="none"/>
              </w:rPr>
            </w:pPr>
          </w:p>
        </w:tc>
        <w:tc>
          <w:tcPr>
            <w:tcW w:w="1775" w:type="dxa"/>
            <w:tcBorders>
              <w:top w:val="single" w:color="auto" w:sz="4" w:space="0"/>
              <w:left w:val="single" w:color="auto" w:sz="4" w:space="0"/>
              <w:bottom w:val="single" w:color="auto" w:sz="4" w:space="0"/>
              <w:right w:val="single" w:color="auto" w:sz="4" w:space="0"/>
            </w:tcBorders>
          </w:tcPr>
          <w:p w14:paraId="4A458F64">
            <w:pPr>
              <w:spacing w:line="288" w:lineRule="auto"/>
              <w:jc w:val="center"/>
              <w:rPr>
                <w:rFonts w:hint="eastAsia" w:ascii="宋体" w:hAnsi="宋体" w:eastAsia="宋体" w:cs="宋体"/>
                <w:szCs w:val="21"/>
                <w:highlight w:val="none"/>
              </w:rPr>
            </w:pPr>
            <w:r>
              <w:rPr>
                <w:rFonts w:hint="eastAsia" w:ascii="宋体" w:hAnsi="宋体" w:eastAsia="宋体" w:cs="宋体"/>
                <w:szCs w:val="21"/>
                <w:highlight w:val="none"/>
              </w:rPr>
              <w:t>评分因素</w:t>
            </w:r>
          </w:p>
        </w:tc>
        <w:tc>
          <w:tcPr>
            <w:tcW w:w="6559" w:type="dxa"/>
            <w:tcBorders>
              <w:top w:val="single" w:color="auto" w:sz="4" w:space="0"/>
              <w:left w:val="single" w:color="auto" w:sz="4" w:space="0"/>
              <w:bottom w:val="single" w:color="auto" w:sz="4" w:space="0"/>
              <w:right w:val="single" w:color="auto" w:sz="4" w:space="0"/>
            </w:tcBorders>
          </w:tcPr>
          <w:p w14:paraId="02F87541">
            <w:pPr>
              <w:spacing w:line="288" w:lineRule="auto"/>
              <w:jc w:val="center"/>
              <w:rPr>
                <w:rFonts w:hint="eastAsia" w:ascii="宋体" w:hAnsi="宋体" w:eastAsia="宋体" w:cs="宋体"/>
                <w:szCs w:val="21"/>
                <w:highlight w:val="none"/>
              </w:rPr>
            </w:pPr>
            <w:r>
              <w:rPr>
                <w:rFonts w:hint="eastAsia" w:ascii="宋体" w:hAnsi="宋体" w:eastAsia="宋体" w:cs="宋体"/>
                <w:szCs w:val="21"/>
                <w:highlight w:val="none"/>
              </w:rPr>
              <w:t>评分准则</w:t>
            </w:r>
          </w:p>
        </w:tc>
      </w:tr>
      <w:tr w14:paraId="1E106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705" w:type="dxa"/>
            <w:vMerge w:val="continue"/>
            <w:tcBorders>
              <w:left w:val="single" w:color="auto" w:sz="4" w:space="0"/>
              <w:right w:val="single" w:color="auto" w:sz="4" w:space="0"/>
            </w:tcBorders>
            <w:vAlign w:val="center"/>
          </w:tcPr>
          <w:p w14:paraId="0FED995B">
            <w:pPr>
              <w:widowControl/>
              <w:spacing w:line="288" w:lineRule="auto"/>
              <w:jc w:val="left"/>
              <w:rPr>
                <w:rFonts w:hint="eastAsia" w:ascii="宋体" w:hAnsi="宋体" w:eastAsia="宋体" w:cs="宋体"/>
                <w:szCs w:val="21"/>
                <w:highlight w:val="none"/>
              </w:rPr>
            </w:pPr>
          </w:p>
        </w:tc>
        <w:tc>
          <w:tcPr>
            <w:tcW w:w="1775" w:type="dxa"/>
            <w:tcBorders>
              <w:top w:val="single" w:color="auto" w:sz="4" w:space="0"/>
              <w:left w:val="single" w:color="auto" w:sz="4" w:space="0"/>
              <w:bottom w:val="single" w:color="auto" w:sz="4" w:space="0"/>
              <w:right w:val="single" w:color="auto" w:sz="4" w:space="0"/>
            </w:tcBorders>
            <w:vAlign w:val="center"/>
          </w:tcPr>
          <w:p w14:paraId="7EFB7A42">
            <w:pPr>
              <w:spacing w:line="288" w:lineRule="auto"/>
              <w:jc w:val="center"/>
              <w:rPr>
                <w:rFonts w:hint="eastAsia" w:ascii="宋体" w:hAnsi="宋体" w:cs="宋体"/>
                <w:szCs w:val="21"/>
                <w:highlight w:val="none"/>
              </w:rPr>
            </w:pPr>
            <w:r>
              <w:rPr>
                <w:rFonts w:hint="eastAsia" w:ascii="宋体" w:hAnsi="宋体" w:cs="宋体"/>
                <w:szCs w:val="21"/>
                <w:highlight w:val="none"/>
              </w:rPr>
              <w:t>同类业绩</w:t>
            </w:r>
          </w:p>
          <w:p w14:paraId="7F862D55">
            <w:pPr>
              <w:spacing w:line="288" w:lineRule="auto"/>
              <w:jc w:val="center"/>
              <w:rPr>
                <w:rFonts w:hint="eastAsia" w:ascii="宋体" w:hAnsi="宋体" w:cs="宋体"/>
                <w:szCs w:val="21"/>
                <w:highlight w:val="none"/>
              </w:rPr>
            </w:pPr>
            <w:r>
              <w:rPr>
                <w:rFonts w:hint="eastAsia" w:ascii="宋体" w:hAnsi="宋体" w:cs="宋体"/>
                <w:szCs w:val="21"/>
                <w:highlight w:val="none"/>
              </w:rPr>
              <w:t>（12）</w:t>
            </w:r>
          </w:p>
        </w:tc>
        <w:tc>
          <w:tcPr>
            <w:tcW w:w="6559" w:type="dxa"/>
            <w:tcBorders>
              <w:top w:val="single" w:color="auto" w:sz="4" w:space="0"/>
              <w:left w:val="single" w:color="auto" w:sz="4" w:space="0"/>
              <w:bottom w:val="single" w:color="auto" w:sz="4" w:space="0"/>
              <w:right w:val="single" w:color="auto" w:sz="4" w:space="0"/>
            </w:tcBorders>
            <w:vAlign w:val="center"/>
          </w:tcPr>
          <w:p w14:paraId="761F91DD">
            <w:pPr>
              <w:spacing w:line="288" w:lineRule="auto"/>
              <w:ind w:firstLine="315" w:firstLineChars="150"/>
              <w:jc w:val="left"/>
              <w:rPr>
                <w:rFonts w:hint="eastAsia" w:ascii="宋体" w:hAnsi="宋体" w:eastAsia="宋体" w:cs="宋体"/>
                <w:szCs w:val="21"/>
                <w:highlight w:val="none"/>
              </w:rPr>
            </w:pPr>
            <w:r>
              <w:rPr>
                <w:rFonts w:hint="eastAsia" w:ascii="宋体" w:hAnsi="宋体" w:eastAsia="宋体" w:cs="宋体"/>
                <w:szCs w:val="21"/>
                <w:highlight w:val="none"/>
              </w:rPr>
              <w:t xml:space="preserve">（一）评审标准： </w:t>
            </w:r>
          </w:p>
          <w:p w14:paraId="64E72679">
            <w:pPr>
              <w:spacing w:line="288" w:lineRule="auto"/>
              <w:ind w:firstLine="315" w:firstLineChars="150"/>
              <w:jc w:val="left"/>
              <w:rPr>
                <w:rFonts w:hint="eastAsia" w:ascii="宋体" w:hAnsi="宋体" w:eastAsia="宋体" w:cs="宋体"/>
                <w:szCs w:val="21"/>
                <w:highlight w:val="none"/>
              </w:rPr>
            </w:pPr>
            <w:r>
              <w:rPr>
                <w:rFonts w:hint="eastAsia" w:ascii="宋体" w:hAnsi="宋体" w:eastAsia="宋体" w:cs="宋体"/>
                <w:szCs w:val="21"/>
                <w:highlight w:val="none"/>
              </w:rPr>
              <w:t>2023年1月1日至今最具代表性的同类项目业绩，提供的业绩数量最多不超过4项，若超过4项则按提供材料顺序审查前4项，每提供一项业绩得3分，最高得12分，未提供不得分。</w:t>
            </w:r>
          </w:p>
          <w:p w14:paraId="4A72C435">
            <w:pPr>
              <w:spacing w:line="288" w:lineRule="auto"/>
              <w:ind w:firstLine="315" w:firstLineChars="150"/>
              <w:jc w:val="left"/>
              <w:rPr>
                <w:rFonts w:hint="eastAsia" w:ascii="宋体" w:hAnsi="宋体" w:eastAsia="宋体" w:cs="宋体"/>
                <w:szCs w:val="21"/>
                <w:highlight w:val="none"/>
              </w:rPr>
            </w:pPr>
            <w:r>
              <w:rPr>
                <w:rFonts w:hint="eastAsia" w:ascii="宋体" w:hAnsi="宋体" w:eastAsia="宋体" w:cs="宋体"/>
                <w:szCs w:val="21"/>
                <w:highlight w:val="none"/>
              </w:rPr>
              <w:t xml:space="preserve">（二）证明文件： </w:t>
            </w:r>
          </w:p>
          <w:p w14:paraId="4CBE2323">
            <w:pPr>
              <w:spacing w:line="288" w:lineRule="auto"/>
              <w:ind w:firstLine="315" w:firstLineChars="150"/>
              <w:jc w:val="left"/>
              <w:rPr>
                <w:rFonts w:hint="eastAsia" w:ascii="宋体" w:hAnsi="宋体" w:eastAsia="宋体" w:cs="宋体"/>
                <w:szCs w:val="21"/>
                <w:highlight w:val="none"/>
              </w:rPr>
            </w:pPr>
            <w:r>
              <w:rPr>
                <w:rFonts w:hint="eastAsia" w:ascii="宋体" w:hAnsi="宋体" w:eastAsia="宋体" w:cs="宋体"/>
                <w:szCs w:val="21"/>
                <w:highlight w:val="none"/>
              </w:rPr>
              <w:t>须提供合同关键页的扫描件（含合同范围、服务内容、合同金额、合同签订时间等），未按要求提供或提供的证明材料专家无法判断的不得分。</w:t>
            </w:r>
          </w:p>
        </w:tc>
      </w:tr>
      <w:tr w14:paraId="0FE4B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705" w:type="dxa"/>
            <w:vMerge w:val="continue"/>
            <w:tcBorders>
              <w:left w:val="single" w:color="auto" w:sz="4" w:space="0"/>
              <w:right w:val="single" w:color="auto" w:sz="4" w:space="0"/>
            </w:tcBorders>
            <w:vAlign w:val="center"/>
          </w:tcPr>
          <w:p w14:paraId="021C9437">
            <w:pPr>
              <w:widowControl/>
              <w:spacing w:line="288" w:lineRule="auto"/>
              <w:jc w:val="left"/>
              <w:rPr>
                <w:rFonts w:hint="eastAsia" w:ascii="宋体" w:hAnsi="宋体" w:eastAsia="宋体" w:cs="宋体"/>
                <w:szCs w:val="21"/>
                <w:highlight w:val="none"/>
              </w:rPr>
            </w:pPr>
          </w:p>
        </w:tc>
        <w:tc>
          <w:tcPr>
            <w:tcW w:w="1775" w:type="dxa"/>
            <w:tcBorders>
              <w:top w:val="single" w:color="auto" w:sz="4" w:space="0"/>
              <w:left w:val="single" w:color="auto" w:sz="4" w:space="0"/>
              <w:bottom w:val="single" w:color="auto" w:sz="4" w:space="0"/>
              <w:right w:val="single" w:color="auto" w:sz="4" w:space="0"/>
            </w:tcBorders>
            <w:vAlign w:val="center"/>
          </w:tcPr>
          <w:p w14:paraId="199BC25A">
            <w:pPr>
              <w:spacing w:line="288" w:lineRule="auto"/>
              <w:jc w:val="center"/>
              <w:rPr>
                <w:rFonts w:hint="eastAsia" w:ascii="宋体" w:hAnsi="宋体" w:cs="宋体"/>
                <w:szCs w:val="21"/>
                <w:highlight w:val="none"/>
              </w:rPr>
            </w:pPr>
            <w:r>
              <w:rPr>
                <w:rFonts w:hint="eastAsia" w:ascii="宋体" w:hAnsi="宋体" w:cs="宋体"/>
                <w:szCs w:val="21"/>
                <w:highlight w:val="none"/>
              </w:rPr>
              <w:t>履约质效</w:t>
            </w:r>
          </w:p>
          <w:p w14:paraId="715B3AA5">
            <w:pPr>
              <w:spacing w:line="288" w:lineRule="auto"/>
              <w:jc w:val="center"/>
              <w:rPr>
                <w:highlight w:val="none"/>
              </w:rPr>
            </w:pPr>
            <w:r>
              <w:rPr>
                <w:rFonts w:hint="eastAsia" w:ascii="宋体" w:hAnsi="宋体" w:cs="宋体"/>
                <w:szCs w:val="21"/>
                <w:highlight w:val="none"/>
              </w:rPr>
              <w:t>（8）</w:t>
            </w:r>
          </w:p>
        </w:tc>
        <w:tc>
          <w:tcPr>
            <w:tcW w:w="6559" w:type="dxa"/>
            <w:tcBorders>
              <w:top w:val="single" w:color="auto" w:sz="4" w:space="0"/>
              <w:left w:val="single" w:color="auto" w:sz="4" w:space="0"/>
              <w:bottom w:val="single" w:color="auto" w:sz="4" w:space="0"/>
              <w:right w:val="single" w:color="auto" w:sz="4" w:space="0"/>
            </w:tcBorders>
            <w:vAlign w:val="center"/>
          </w:tcPr>
          <w:p w14:paraId="1E9B14DF">
            <w:pPr>
              <w:spacing w:line="288" w:lineRule="auto"/>
              <w:ind w:firstLine="315" w:firstLineChars="150"/>
              <w:jc w:val="left"/>
              <w:rPr>
                <w:rFonts w:hint="eastAsia" w:ascii="宋体" w:hAnsi="宋体" w:eastAsia="宋体" w:cs="宋体"/>
                <w:szCs w:val="21"/>
                <w:highlight w:val="none"/>
              </w:rPr>
            </w:pPr>
            <w:r>
              <w:rPr>
                <w:rFonts w:hint="eastAsia" w:ascii="宋体" w:hAnsi="宋体" w:eastAsia="宋体" w:cs="宋体"/>
                <w:szCs w:val="21"/>
                <w:highlight w:val="none"/>
              </w:rPr>
              <w:t xml:space="preserve">（一）评审内容： </w:t>
            </w:r>
          </w:p>
          <w:p w14:paraId="4909F942">
            <w:pPr>
              <w:spacing w:line="288" w:lineRule="auto"/>
              <w:ind w:firstLine="315" w:firstLineChars="150"/>
              <w:jc w:val="left"/>
              <w:rPr>
                <w:rFonts w:hint="eastAsia" w:ascii="宋体" w:hAnsi="宋体" w:eastAsia="宋体" w:cs="宋体"/>
                <w:szCs w:val="21"/>
                <w:highlight w:val="none"/>
              </w:rPr>
            </w:pPr>
            <w:r>
              <w:rPr>
                <w:rFonts w:hint="eastAsia" w:ascii="宋体" w:hAnsi="宋体" w:eastAsia="宋体" w:cs="宋体"/>
                <w:szCs w:val="21"/>
                <w:highlight w:val="none"/>
              </w:rPr>
              <w:t>对本企业在本项目履约中存在的优势做出说明，包括公司资源调度、技术优势等。</w:t>
            </w:r>
          </w:p>
          <w:p w14:paraId="783D75D9">
            <w:pPr>
              <w:spacing w:line="288" w:lineRule="auto"/>
              <w:ind w:firstLine="315" w:firstLineChars="150"/>
              <w:jc w:val="left"/>
              <w:rPr>
                <w:rFonts w:hint="eastAsia" w:ascii="宋体" w:hAnsi="宋体" w:eastAsia="宋体" w:cs="宋体"/>
                <w:szCs w:val="21"/>
                <w:highlight w:val="none"/>
              </w:rPr>
            </w:pPr>
            <w:r>
              <w:rPr>
                <w:rFonts w:hint="eastAsia" w:ascii="宋体" w:hAnsi="宋体" w:eastAsia="宋体" w:cs="宋体"/>
                <w:szCs w:val="21"/>
                <w:highlight w:val="none"/>
              </w:rPr>
              <w:t>（二）评审标准：</w:t>
            </w:r>
          </w:p>
          <w:p w14:paraId="1584B7CD">
            <w:pPr>
              <w:spacing w:line="288" w:lineRule="auto"/>
              <w:ind w:firstLine="315" w:firstLineChars="150"/>
              <w:jc w:val="left"/>
              <w:rPr>
                <w:rFonts w:hint="eastAsia" w:ascii="宋体" w:hAnsi="宋体" w:eastAsia="宋体" w:cs="宋体"/>
                <w:szCs w:val="21"/>
                <w:highlight w:val="none"/>
              </w:rPr>
            </w:pPr>
            <w:r>
              <w:rPr>
                <w:rFonts w:hint="eastAsia" w:ascii="宋体" w:hAnsi="宋体" w:eastAsia="宋体" w:cs="宋体"/>
                <w:szCs w:val="21"/>
                <w:highlight w:val="none"/>
              </w:rPr>
              <w:t>资源保障方面4分（包括但不限于：为保障本项目投入的专属管理团队、关键设备等资源的具体方案是否详细、适配度高）。</w:t>
            </w:r>
          </w:p>
          <w:p w14:paraId="480E3D26">
            <w:pPr>
              <w:spacing w:line="288" w:lineRule="auto"/>
              <w:ind w:firstLine="315" w:firstLineChars="150"/>
              <w:jc w:val="left"/>
              <w:rPr>
                <w:rFonts w:hint="eastAsia" w:ascii="宋体" w:hAnsi="宋体" w:eastAsia="宋体" w:cs="宋体"/>
                <w:szCs w:val="21"/>
                <w:highlight w:val="none"/>
              </w:rPr>
            </w:pPr>
            <w:r>
              <w:rPr>
                <w:rFonts w:hint="eastAsia" w:ascii="宋体" w:hAnsi="宋体" w:eastAsia="宋体" w:cs="宋体"/>
                <w:szCs w:val="21"/>
                <w:highlight w:val="none"/>
              </w:rPr>
              <w:t>技术优势方面2分（说明在类似项目中的特有技术、工艺、专利或成熟管理体系，与本项目需求契合度高。）</w:t>
            </w:r>
          </w:p>
          <w:p w14:paraId="590530D4">
            <w:pPr>
              <w:spacing w:line="288" w:lineRule="auto"/>
              <w:ind w:firstLine="315" w:firstLineChars="150"/>
              <w:jc w:val="left"/>
              <w:rPr>
                <w:rFonts w:hint="eastAsia" w:ascii="宋体" w:hAnsi="宋体" w:eastAsia="宋体" w:cs="宋体"/>
                <w:szCs w:val="21"/>
                <w:highlight w:val="none"/>
              </w:rPr>
            </w:pPr>
            <w:r>
              <w:rPr>
                <w:rFonts w:hint="eastAsia" w:ascii="宋体" w:hAnsi="宋体" w:eastAsia="宋体" w:cs="宋体"/>
                <w:szCs w:val="21"/>
                <w:highlight w:val="none"/>
              </w:rPr>
              <w:t>管理优势方面2分（说明在类似项目中的好的管理经验与成效）</w:t>
            </w:r>
          </w:p>
          <w:p w14:paraId="3B264F80">
            <w:pPr>
              <w:spacing w:line="288" w:lineRule="auto"/>
              <w:ind w:firstLine="315" w:firstLineChars="150"/>
              <w:jc w:val="left"/>
              <w:rPr>
                <w:rFonts w:hint="eastAsia" w:ascii="宋体" w:hAnsi="宋体" w:eastAsia="宋体" w:cs="宋体"/>
                <w:szCs w:val="21"/>
                <w:highlight w:val="none"/>
              </w:rPr>
            </w:pPr>
            <w:r>
              <w:rPr>
                <w:rFonts w:hint="eastAsia" w:ascii="宋体" w:hAnsi="宋体" w:eastAsia="宋体" w:cs="宋体"/>
                <w:szCs w:val="21"/>
                <w:highlight w:val="none"/>
              </w:rPr>
              <w:t>未提供相应方案不得分。专家根据内容合理性评分</w:t>
            </w:r>
            <w:r>
              <w:rPr>
                <w:rFonts w:hint="eastAsia" w:ascii="宋体" w:hAnsi="宋体" w:cs="宋体"/>
                <w:szCs w:val="21"/>
                <w:highlight w:val="none"/>
              </w:rPr>
              <w:t>。</w:t>
            </w:r>
          </w:p>
        </w:tc>
      </w:tr>
    </w:tbl>
    <w:p w14:paraId="6BA1833C">
      <w:pPr>
        <w:rPr>
          <w:color w:val="000000" w:themeColor="text1"/>
          <w:highlight w:val="none"/>
          <w14:textFill>
            <w14:solidFill>
              <w14:schemeClr w14:val="tx1"/>
            </w14:solidFill>
          </w14:textFill>
        </w:rPr>
      </w:pPr>
    </w:p>
    <w:p w14:paraId="211E31AB">
      <w:pPr>
        <w:pStyle w:val="3"/>
        <w:tabs>
          <w:tab w:val="left" w:pos="2138"/>
        </w:tabs>
        <w:spacing w:before="72"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备注： </w:t>
      </w:r>
    </w:p>
    <w:p w14:paraId="248FEE23">
      <w:pPr>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每一项的得分均不能超过该项最高分值。</w:t>
      </w:r>
    </w:p>
    <w:p w14:paraId="52B63EF8">
      <w:pPr>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color w:val="000000" w:themeColor="text1"/>
          <w:highlight w:val="none"/>
          <w14:textFill>
            <w14:solidFill>
              <w14:schemeClr w14:val="tx1"/>
            </w14:solidFill>
          </w14:textFill>
        </w:rPr>
        <w:t xml:space="preserve">缺项则该项为 0 分或不合格为 0 分。 </w:t>
      </w:r>
    </w:p>
    <w:p w14:paraId="7886466B">
      <w:pPr>
        <w:pStyle w:val="3"/>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t>客观评分项，所有评审专家应当统一打分分值；主观评分项，评审专家应当按照打分</w:t>
      </w:r>
      <w:r>
        <w:rPr>
          <w:rFonts w:hint="eastAsia"/>
          <w:color w:val="000000" w:themeColor="text1"/>
          <w:highlight w:val="none"/>
          <w14:textFill>
            <w14:solidFill>
              <w14:schemeClr w14:val="tx1"/>
            </w14:solidFill>
          </w14:textFill>
        </w:rPr>
        <w:t>标准进行评分。</w:t>
      </w:r>
    </w:p>
    <w:p w14:paraId="4FD8289B">
      <w:pPr>
        <w:topLinePunct/>
        <w:adjustRightInd w:val="0"/>
        <w:snapToGrid w:val="0"/>
        <w:spacing w:line="360" w:lineRule="auto"/>
        <w:ind w:firstLine="420" w:firstLineChars="200"/>
        <w:rPr>
          <w:rFonts w:hint="eastAsia" w:ascii="宋体" w:hAnsi="宋体" w:eastAsia="宋体" w:cs="宋体"/>
          <w:color w:val="000000" w:themeColor="text1"/>
          <w:kern w:val="0"/>
          <w:szCs w:val="21"/>
          <w:highlight w:val="none"/>
          <w14:textFill>
            <w14:solidFill>
              <w14:schemeClr w14:val="tx1"/>
            </w14:solidFill>
          </w14:textFill>
        </w:rPr>
      </w:pPr>
    </w:p>
    <w:p w14:paraId="452B175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yMmQ4NmM5MGQ1MTg5NTIwNTY2ZWZlMzJjMmViZTkifQ=="/>
  </w:docVars>
  <w:rsids>
    <w:rsidRoot w:val="74F97A7D"/>
    <w:rsid w:val="001C0C92"/>
    <w:rsid w:val="005D55D9"/>
    <w:rsid w:val="006720E2"/>
    <w:rsid w:val="00AF55B8"/>
    <w:rsid w:val="00E005C4"/>
    <w:rsid w:val="050A69AE"/>
    <w:rsid w:val="077704F7"/>
    <w:rsid w:val="09DA2616"/>
    <w:rsid w:val="0B3B61D6"/>
    <w:rsid w:val="0C060244"/>
    <w:rsid w:val="0DA2405F"/>
    <w:rsid w:val="109C4CD3"/>
    <w:rsid w:val="11902A8A"/>
    <w:rsid w:val="151C4DE5"/>
    <w:rsid w:val="19502AFF"/>
    <w:rsid w:val="258E145B"/>
    <w:rsid w:val="261849A4"/>
    <w:rsid w:val="29F2313B"/>
    <w:rsid w:val="2F8F62B7"/>
    <w:rsid w:val="2FC47942"/>
    <w:rsid w:val="347F60F0"/>
    <w:rsid w:val="37E31971"/>
    <w:rsid w:val="3B1B3A00"/>
    <w:rsid w:val="3D5E35B8"/>
    <w:rsid w:val="3E0A1E11"/>
    <w:rsid w:val="3E2825B5"/>
    <w:rsid w:val="42C35BA4"/>
    <w:rsid w:val="47796868"/>
    <w:rsid w:val="4BC6EBB9"/>
    <w:rsid w:val="4FD35314"/>
    <w:rsid w:val="50510BA4"/>
    <w:rsid w:val="563D5928"/>
    <w:rsid w:val="589B500C"/>
    <w:rsid w:val="59D32AE1"/>
    <w:rsid w:val="5AE8436A"/>
    <w:rsid w:val="5E6D188E"/>
    <w:rsid w:val="5E88506D"/>
    <w:rsid w:val="640F701E"/>
    <w:rsid w:val="6BFC44B3"/>
    <w:rsid w:val="6E263567"/>
    <w:rsid w:val="74F97A7D"/>
    <w:rsid w:val="779E7D06"/>
    <w:rsid w:val="78452301"/>
    <w:rsid w:val="7C606BB1"/>
    <w:rsid w:val="DF921A68"/>
    <w:rsid w:val="F26BD722"/>
    <w:rsid w:val="FFBD9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qFormat/>
    <w:uiPriority w:val="0"/>
    <w:pPr>
      <w:jc w:val="left"/>
    </w:pPr>
  </w:style>
  <w:style w:type="paragraph" w:styleId="3">
    <w:name w:val="Body Text"/>
    <w:basedOn w:val="1"/>
    <w:unhideWhenUsed/>
    <w:qFormat/>
    <w:uiPriority w:val="99"/>
    <w:pPr>
      <w:spacing w:after="120"/>
    </w:pPr>
  </w:style>
  <w:style w:type="paragraph" w:styleId="4">
    <w:name w:val="footer"/>
    <w:basedOn w:val="1"/>
    <w:link w:val="16"/>
    <w:qFormat/>
    <w:uiPriority w:val="0"/>
    <w:pPr>
      <w:tabs>
        <w:tab w:val="center" w:pos="4153"/>
        <w:tab w:val="right" w:pos="8306"/>
      </w:tabs>
      <w:snapToGrid w:val="0"/>
      <w:jc w:val="left"/>
    </w:pPr>
    <w:rPr>
      <w:sz w:val="18"/>
      <w:szCs w:val="18"/>
    </w:rPr>
  </w:style>
  <w:style w:type="paragraph" w:styleId="5">
    <w:name w:val="header"/>
    <w:basedOn w:val="1"/>
    <w:link w:val="15"/>
    <w:qFormat/>
    <w:uiPriority w:val="0"/>
    <w:pPr>
      <w:tabs>
        <w:tab w:val="center" w:pos="4153"/>
        <w:tab w:val="right" w:pos="8306"/>
      </w:tabs>
      <w:snapToGrid w:val="0"/>
      <w:jc w:val="center"/>
    </w:pPr>
    <w:rPr>
      <w:sz w:val="18"/>
      <w:szCs w:val="18"/>
    </w:rPr>
  </w:style>
  <w:style w:type="paragraph" w:styleId="6">
    <w:name w:val="Normal (Web)"/>
    <w:basedOn w:val="1"/>
    <w:qFormat/>
    <w:uiPriority w:val="0"/>
    <w:rPr>
      <w:sz w:val="24"/>
    </w:rPr>
  </w:style>
  <w:style w:type="paragraph" w:styleId="7">
    <w:name w:val="annotation subject"/>
    <w:basedOn w:val="2"/>
    <w:next w:val="2"/>
    <w:link w:val="18"/>
    <w:qFormat/>
    <w:uiPriority w:val="0"/>
    <w:rPr>
      <w:b/>
      <w:bCs/>
    </w:rPr>
  </w:style>
  <w:style w:type="character" w:styleId="10">
    <w:name w:val="Strong"/>
    <w:basedOn w:val="9"/>
    <w:qFormat/>
    <w:uiPriority w:val="0"/>
    <w:rPr>
      <w:rFonts w:ascii="Times New Roman" w:hAnsi="Times New Roman" w:eastAsia="宋体"/>
      <w:b/>
      <w:sz w:val="28"/>
    </w:rPr>
  </w:style>
  <w:style w:type="character" w:styleId="11">
    <w:name w:val="annotation reference"/>
    <w:basedOn w:val="9"/>
    <w:qFormat/>
    <w:uiPriority w:val="0"/>
    <w:rPr>
      <w:sz w:val="21"/>
      <w:szCs w:val="21"/>
    </w:rPr>
  </w:style>
  <w:style w:type="paragraph" w:customStyle="1" w:styleId="12">
    <w:name w:val="非政府正文"/>
    <w:basedOn w:val="1"/>
    <w:qFormat/>
    <w:uiPriority w:val="0"/>
  </w:style>
  <w:style w:type="paragraph" w:customStyle="1" w:styleId="13">
    <w:name w:val="Table Paragraph"/>
    <w:basedOn w:val="1"/>
    <w:qFormat/>
    <w:uiPriority w:val="1"/>
  </w:style>
  <w:style w:type="paragraph" w:customStyle="1" w:styleId="14">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5">
    <w:name w:val="页眉 字符"/>
    <w:basedOn w:val="9"/>
    <w:link w:val="5"/>
    <w:qFormat/>
    <w:uiPriority w:val="0"/>
    <w:rPr>
      <w:rFonts w:asciiTheme="minorHAnsi" w:hAnsiTheme="minorHAnsi" w:eastAsiaTheme="minorEastAsia" w:cstheme="minorBidi"/>
      <w:kern w:val="2"/>
      <w:sz w:val="18"/>
      <w:szCs w:val="18"/>
    </w:rPr>
  </w:style>
  <w:style w:type="character" w:customStyle="1" w:styleId="16">
    <w:name w:val="页脚 字符"/>
    <w:basedOn w:val="9"/>
    <w:link w:val="4"/>
    <w:qFormat/>
    <w:uiPriority w:val="0"/>
    <w:rPr>
      <w:rFonts w:asciiTheme="minorHAnsi" w:hAnsiTheme="minorHAnsi" w:eastAsiaTheme="minorEastAsia" w:cstheme="minorBidi"/>
      <w:kern w:val="2"/>
      <w:sz w:val="18"/>
      <w:szCs w:val="18"/>
    </w:rPr>
  </w:style>
  <w:style w:type="character" w:customStyle="1" w:styleId="17">
    <w:name w:val="批注文字 字符"/>
    <w:basedOn w:val="9"/>
    <w:link w:val="2"/>
    <w:qFormat/>
    <w:uiPriority w:val="0"/>
    <w:rPr>
      <w:rFonts w:asciiTheme="minorHAnsi" w:hAnsiTheme="minorHAnsi" w:eastAsiaTheme="minorEastAsia" w:cstheme="minorBidi"/>
      <w:kern w:val="2"/>
      <w:sz w:val="21"/>
      <w:szCs w:val="22"/>
    </w:rPr>
  </w:style>
  <w:style w:type="character" w:customStyle="1" w:styleId="18">
    <w:name w:val="批注主题 字符"/>
    <w:basedOn w:val="17"/>
    <w:link w:val="7"/>
    <w:qFormat/>
    <w:uiPriority w:val="0"/>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2186</Words>
  <Characters>2211</Characters>
  <Lines>78</Lines>
  <Paragraphs>93</Paragraphs>
  <TotalTime>47</TotalTime>
  <ScaleCrop>false</ScaleCrop>
  <LinksUpToDate>false</LinksUpToDate>
  <CharactersWithSpaces>2230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2023-05-12T11:49:00Z</dcterms:created>
  <dc:creator>马捷</dc:creator>
  <cp:lastModifiedBy>Qqqqqq</cp:lastModifiedBy>
  <dcterms:modified xsi:type="dcterms:W3CDTF">2026-06-18T09:52:07Z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6C09A6F835C74E79831B3318B3EF58A0_13</vt:lpwstr>
  </property>
  <property fmtid="{D5CDD505-2E9C-101B-9397-08002B2CF9AE}" pid="4" name="KSOTemplateDocerSaveRecord">
    <vt:lpwstr>eyJoZGlkIjoiZTI5NWMzNjQwMmEwMmJhMWNjZjQyOTRkOWYyYTk0OGIiLCJ1c2VySWQiOiI0NTcwMzE0OTAifQ==</vt:lpwstr>
  </property>
</Properties>
</file>