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imes New Roman" w:hAnsi="Times New Roman" w:eastAsia="仿宋_GB2312"/>
          <w:b/>
          <w:bCs/>
          <w:color w:val="000000" w:themeColor="text1"/>
          <w:sz w:val="36"/>
          <w:szCs w:val="36"/>
          <w14:textFill>
            <w14:solidFill>
              <w14:schemeClr w14:val="tx1"/>
            </w14:solidFill>
          </w14:textFill>
        </w:rPr>
      </w:pPr>
      <w:r>
        <w:rPr>
          <w:rFonts w:hint="eastAsia" w:ascii="Times New Roman" w:hAnsi="Times New Roman" w:eastAsia="仿宋_GB2312"/>
          <w:b/>
          <w:bCs/>
          <w:color w:val="000000" w:themeColor="text1"/>
          <w:sz w:val="36"/>
          <w:szCs w:val="36"/>
          <w14:textFill>
            <w14:solidFill>
              <w14:schemeClr w14:val="tx1"/>
            </w14:solidFill>
          </w14:textFill>
        </w:rPr>
        <w:t>宝安区电动自行车充换电设施安全监管技术服务</w:t>
      </w:r>
    </w:p>
    <w:p>
      <w:pPr>
        <w:spacing w:line="500" w:lineRule="exact"/>
        <w:jc w:val="center"/>
        <w:rPr>
          <w:rFonts w:ascii="Times New Roman" w:hAnsi="Times New Roman" w:eastAsia="仿宋_GB2312"/>
          <w:b/>
          <w:bCs/>
          <w:color w:val="000000" w:themeColor="text1"/>
          <w:sz w:val="36"/>
          <w:szCs w:val="36"/>
          <w14:textFill>
            <w14:solidFill>
              <w14:schemeClr w14:val="tx1"/>
            </w14:solidFill>
          </w14:textFill>
        </w:rPr>
      </w:pPr>
      <w:r>
        <w:rPr>
          <w:rFonts w:hint="eastAsia" w:ascii="Times New Roman" w:hAnsi="Times New Roman" w:eastAsia="仿宋_GB2312"/>
          <w:b/>
          <w:bCs/>
          <w:color w:val="000000" w:themeColor="text1"/>
          <w:sz w:val="36"/>
          <w:szCs w:val="36"/>
          <w14:textFill>
            <w14:solidFill>
              <w14:schemeClr w14:val="tx1"/>
            </w14:solidFill>
          </w14:textFill>
        </w:rPr>
        <w:t>采购定</w:t>
      </w:r>
      <w:r>
        <w:rPr>
          <w:rFonts w:hint="default" w:ascii="Times New Roman" w:hAnsi="Times New Roman" w:eastAsia="仿宋_GB2312"/>
          <w:b/>
          <w:bCs/>
          <w:color w:val="000000" w:themeColor="text1"/>
          <w:sz w:val="36"/>
          <w:szCs w:val="36"/>
          <w:lang w:val="en-US"/>
          <w14:textFill>
            <w14:solidFill>
              <w14:schemeClr w14:val="tx1"/>
            </w14:solidFill>
          </w14:textFill>
        </w:rPr>
        <w:t>标</w:t>
      </w:r>
      <w:r>
        <w:rPr>
          <w:rFonts w:hint="eastAsia" w:ascii="Times New Roman" w:hAnsi="Times New Roman" w:eastAsia="仿宋_GB2312"/>
          <w:b/>
          <w:bCs/>
          <w:color w:val="000000" w:themeColor="text1"/>
          <w:sz w:val="36"/>
          <w:szCs w:val="36"/>
          <w14:textFill>
            <w14:solidFill>
              <w14:schemeClr w14:val="tx1"/>
            </w14:solidFill>
          </w14:textFill>
        </w:rPr>
        <w:t>评标信息</w:t>
      </w:r>
      <w:bookmarkStart w:id="0" w:name="_GoBack"/>
      <w:bookmarkEnd w:id="0"/>
    </w:p>
    <w:p>
      <w:pPr>
        <w:widowControl/>
        <w:spacing w:line="360" w:lineRule="exact"/>
        <w:ind w:firstLine="480" w:firstLineChars="200"/>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 xml:space="preserve">本项目采用综合评分法，最终中标供应商为1个。 </w:t>
      </w:r>
    </w:p>
    <w:tbl>
      <w:tblPr>
        <w:tblStyle w:val="12"/>
        <w:tblW w:w="945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4"/>
        <w:gridCol w:w="1642"/>
        <w:gridCol w:w="768"/>
        <w:gridCol w:w="63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34" w:type="dxa"/>
            <w:vAlign w:val="center"/>
          </w:tcPr>
          <w:p>
            <w:pPr>
              <w:spacing w:line="500" w:lineRule="exact"/>
              <w:jc w:val="center"/>
              <w:rPr>
                <w:rFonts w:ascii="Times New Roman" w:hAnsi="Times New Roman" w:eastAsia="仿宋_GB2312"/>
                <w:b/>
                <w:bCs/>
                <w:color w:val="000000" w:themeColor="text1"/>
                <w:sz w:val="24"/>
                <w:szCs w:val="24"/>
                <w14:textFill>
                  <w14:solidFill>
                    <w14:schemeClr w14:val="tx1"/>
                  </w14:solidFill>
                </w14:textFill>
              </w:rPr>
            </w:pPr>
            <w:r>
              <w:rPr>
                <w:rFonts w:hint="eastAsia" w:ascii="Times New Roman" w:hAnsi="Times New Roman" w:eastAsia="仿宋_GB2312"/>
                <w:b/>
                <w:bCs/>
                <w:color w:val="000000" w:themeColor="text1"/>
                <w:sz w:val="24"/>
                <w:szCs w:val="24"/>
                <w14:textFill>
                  <w14:solidFill>
                    <w14:schemeClr w14:val="tx1"/>
                  </w14:solidFill>
                </w14:textFill>
              </w:rPr>
              <w:t>序号</w:t>
            </w:r>
          </w:p>
        </w:tc>
        <w:tc>
          <w:tcPr>
            <w:tcW w:w="1642" w:type="dxa"/>
            <w:vAlign w:val="center"/>
          </w:tcPr>
          <w:p>
            <w:pPr>
              <w:spacing w:line="500" w:lineRule="exact"/>
              <w:jc w:val="center"/>
              <w:rPr>
                <w:rFonts w:ascii="Times New Roman" w:hAnsi="Times New Roman" w:eastAsia="仿宋_GB2312"/>
                <w:b/>
                <w:bCs/>
                <w:color w:val="000000" w:themeColor="text1"/>
                <w:sz w:val="24"/>
                <w:szCs w:val="24"/>
                <w14:textFill>
                  <w14:solidFill>
                    <w14:schemeClr w14:val="tx1"/>
                  </w14:solidFill>
                </w14:textFill>
              </w:rPr>
            </w:pPr>
            <w:r>
              <w:rPr>
                <w:rFonts w:hint="eastAsia" w:ascii="Times New Roman" w:hAnsi="Times New Roman" w:eastAsia="仿宋_GB2312"/>
                <w:b/>
                <w:bCs/>
                <w:color w:val="000000" w:themeColor="text1"/>
                <w:sz w:val="24"/>
                <w:szCs w:val="24"/>
                <w14:textFill>
                  <w14:solidFill>
                    <w14:schemeClr w14:val="tx1"/>
                  </w14:solidFill>
                </w14:textFill>
              </w:rPr>
              <w:t>评分要素</w:t>
            </w:r>
          </w:p>
        </w:tc>
        <w:tc>
          <w:tcPr>
            <w:tcW w:w="768" w:type="dxa"/>
            <w:vAlign w:val="center"/>
          </w:tcPr>
          <w:p>
            <w:pPr>
              <w:spacing w:line="500" w:lineRule="exact"/>
              <w:jc w:val="center"/>
              <w:rPr>
                <w:rFonts w:ascii="Times New Roman" w:hAnsi="Times New Roman" w:eastAsia="仿宋_GB2312"/>
                <w:b/>
                <w:bCs/>
                <w:color w:val="000000" w:themeColor="text1"/>
                <w:sz w:val="24"/>
                <w:szCs w:val="24"/>
                <w14:textFill>
                  <w14:solidFill>
                    <w14:schemeClr w14:val="tx1"/>
                  </w14:solidFill>
                </w14:textFill>
              </w:rPr>
            </w:pPr>
            <w:r>
              <w:rPr>
                <w:rFonts w:hint="eastAsia" w:ascii="Times New Roman" w:hAnsi="Times New Roman" w:eastAsia="仿宋_GB2312"/>
                <w:b/>
                <w:bCs/>
                <w:color w:val="000000" w:themeColor="text1"/>
                <w:sz w:val="24"/>
                <w:szCs w:val="24"/>
                <w14:textFill>
                  <w14:solidFill>
                    <w14:schemeClr w14:val="tx1"/>
                  </w14:solidFill>
                </w14:textFill>
              </w:rPr>
              <w:t>权值</w:t>
            </w:r>
          </w:p>
        </w:tc>
        <w:tc>
          <w:tcPr>
            <w:tcW w:w="6312" w:type="dxa"/>
            <w:vAlign w:val="center"/>
          </w:tcPr>
          <w:p>
            <w:pPr>
              <w:spacing w:line="500" w:lineRule="exact"/>
              <w:jc w:val="center"/>
              <w:rPr>
                <w:rFonts w:ascii="Times New Roman" w:hAnsi="Times New Roman" w:eastAsia="仿宋_GB2312"/>
                <w:b/>
                <w:bCs/>
                <w:color w:val="000000" w:themeColor="text1"/>
                <w:sz w:val="24"/>
                <w:szCs w:val="24"/>
                <w14:textFill>
                  <w14:solidFill>
                    <w14:schemeClr w14:val="tx1"/>
                  </w14:solidFill>
                </w14:textFill>
              </w:rPr>
            </w:pPr>
            <w:r>
              <w:rPr>
                <w:rFonts w:hint="eastAsia" w:ascii="Times New Roman" w:hAnsi="Times New Roman" w:eastAsia="仿宋_GB2312"/>
                <w:b/>
                <w:bCs/>
                <w:color w:val="000000" w:themeColor="text1"/>
                <w:sz w:val="24"/>
                <w:szCs w:val="24"/>
                <w14:textFill>
                  <w14:solidFill>
                    <w14:schemeClr w14:val="tx1"/>
                  </w14:solidFill>
                </w14:textFill>
              </w:rPr>
              <w:t>评分标准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0" w:hRule="atLeast"/>
          <w:jc w:val="center"/>
        </w:trPr>
        <w:tc>
          <w:tcPr>
            <w:tcW w:w="734" w:type="dxa"/>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1</w:t>
            </w:r>
          </w:p>
        </w:tc>
        <w:tc>
          <w:tcPr>
            <w:tcW w:w="1642" w:type="dxa"/>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价   格</w:t>
            </w:r>
          </w:p>
        </w:tc>
        <w:tc>
          <w:tcPr>
            <w:tcW w:w="768" w:type="dxa"/>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20</w:t>
            </w:r>
          </w:p>
        </w:tc>
        <w:tc>
          <w:tcPr>
            <w:tcW w:w="6312" w:type="dxa"/>
            <w:vAlign w:val="center"/>
          </w:tcPr>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价格分计算方法：</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价格分=[1-（投标报价-最低价）/最低价]×价格权值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72" w:hRule="atLeast"/>
          <w:jc w:val="center"/>
        </w:trPr>
        <w:tc>
          <w:tcPr>
            <w:tcW w:w="734" w:type="dxa"/>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2</w:t>
            </w:r>
          </w:p>
        </w:tc>
        <w:tc>
          <w:tcPr>
            <w:tcW w:w="1642" w:type="dxa"/>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资质</w:t>
            </w:r>
          </w:p>
        </w:tc>
        <w:tc>
          <w:tcPr>
            <w:tcW w:w="768" w:type="dxa"/>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11</w:t>
            </w:r>
          </w:p>
        </w:tc>
        <w:tc>
          <w:tcPr>
            <w:tcW w:w="6312" w:type="dxa"/>
            <w:vAlign w:val="center"/>
          </w:tcPr>
          <w:p>
            <w:pPr>
              <w:widowControl/>
              <w:spacing w:line="360" w:lineRule="exact"/>
              <w:outlineLvl w:val="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1、投标人业务范围包含相关咨询评估或技术服务等范围，拥有正规办公场所</w:t>
            </w:r>
            <w:r>
              <w:rPr>
                <w:rFonts w:ascii="CESI仿宋-GB2312" w:hAnsi="CESI仿宋-GB2312" w:eastAsia="CESI仿宋-GB2312" w:cs="CESI仿宋-GB2312"/>
                <w:sz w:val="24"/>
                <w:szCs w:val="24"/>
              </w:rPr>
              <w:t>（产权证或租赁合同复印件）</w:t>
            </w:r>
            <w:r>
              <w:rPr>
                <w:rFonts w:hint="eastAsia" w:ascii="CESI仿宋-GB2312" w:hAnsi="CESI仿宋-GB2312" w:eastAsia="CESI仿宋-GB2312" w:cs="CESI仿宋-GB2312"/>
                <w:sz w:val="24"/>
                <w:szCs w:val="24"/>
              </w:rPr>
              <w:t>，满足以上要求得3分；</w:t>
            </w:r>
          </w:p>
          <w:p>
            <w:pPr>
              <w:widowControl/>
              <w:spacing w:line="360" w:lineRule="exact"/>
              <w:outlineLvl w:val="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2、提供有效期内的质量管理体系、环境管理体系、职业健康安全管理体系三项认证证书，得3分；提供任意两项得2分；提供任意一项得1分；</w:t>
            </w:r>
          </w:p>
          <w:p>
            <w:pPr>
              <w:widowControl/>
              <w:spacing w:line="360" w:lineRule="exact"/>
              <w:outlineLvl w:val="0"/>
              <w:rPr>
                <w:rFonts w:hint="eastAsia" w:ascii="CESI仿宋-GB2312" w:hAnsi="CESI仿宋-GB2312" w:eastAsia="CESI仿宋-GB2312" w:cs="CESI仿宋-GB2312"/>
                <w:sz w:val="24"/>
                <w:szCs w:val="24"/>
              </w:rPr>
            </w:pPr>
            <w:r>
              <w:rPr>
                <w:rFonts w:ascii="CESI仿宋-GB2312" w:hAnsi="CESI仿宋-GB2312" w:eastAsia="CESI仿宋-GB2312" w:cs="CESI仿宋-GB2312"/>
                <w:sz w:val="24"/>
                <w:szCs w:val="24"/>
              </w:rPr>
              <w:t>3</w:t>
            </w:r>
            <w:r>
              <w:rPr>
                <w:rFonts w:hint="eastAsia" w:ascii="CESI仿宋-GB2312" w:hAnsi="CESI仿宋-GB2312" w:eastAsia="CESI仿宋-GB2312" w:cs="CESI仿宋-GB2312"/>
                <w:sz w:val="24"/>
                <w:szCs w:val="24"/>
              </w:rPr>
              <w:t>、</w:t>
            </w:r>
            <w:r>
              <w:rPr>
                <w:rFonts w:ascii="CESI仿宋-GB2312" w:hAnsi="CESI仿宋-GB2312" w:eastAsia="CESI仿宋-GB2312" w:cs="CESI仿宋-GB2312"/>
                <w:sz w:val="24"/>
                <w:szCs w:val="24"/>
              </w:rPr>
              <w:t>获评三级及以上安全生产标准化企业的，一级得5分，二级得3分，三级得1分</w:t>
            </w:r>
            <w:r>
              <w:rPr>
                <w:rFonts w:hint="eastAsia" w:ascii="CESI仿宋-GB2312" w:hAnsi="CESI仿宋-GB2312" w:eastAsia="CESI仿宋-GB2312" w:cs="CESI仿宋-GB2312"/>
                <w:sz w:val="24"/>
                <w:szCs w:val="24"/>
              </w:rPr>
              <w:t>。</w:t>
            </w:r>
          </w:p>
          <w:p>
            <w:pPr>
              <w:pStyle w:val="2"/>
            </w:pP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b/>
                <w:bCs/>
                <w:kern w:val="36"/>
                <w:sz w:val="24"/>
                <w:szCs w:val="24"/>
              </w:rPr>
              <w:t>证明材料：</w:t>
            </w:r>
            <w:r>
              <w:rPr>
                <w:rFonts w:hint="eastAsia" w:ascii="CESI仿宋-GB2312" w:hAnsi="CESI仿宋-GB2312" w:eastAsia="CESI仿宋-GB2312" w:cs="CESI仿宋-GB2312"/>
                <w:sz w:val="24"/>
                <w:szCs w:val="24"/>
              </w:rPr>
              <w:t>要求提供复印件加盖公章等证明材料作为得分依据。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21" w:hRule="atLeast"/>
          <w:jc w:val="center"/>
        </w:trPr>
        <w:tc>
          <w:tcPr>
            <w:tcW w:w="734" w:type="dxa"/>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3</w:t>
            </w:r>
          </w:p>
        </w:tc>
        <w:tc>
          <w:tcPr>
            <w:tcW w:w="1642" w:type="dxa"/>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业绩</w:t>
            </w:r>
          </w:p>
        </w:tc>
        <w:tc>
          <w:tcPr>
            <w:tcW w:w="768" w:type="dxa"/>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9</w:t>
            </w:r>
          </w:p>
        </w:tc>
        <w:tc>
          <w:tcPr>
            <w:tcW w:w="6312" w:type="dxa"/>
            <w:vAlign w:val="center"/>
          </w:tcPr>
          <w:p>
            <w:pPr>
              <w:widowControl/>
              <w:spacing w:line="360" w:lineRule="exact"/>
              <w:outlineLvl w:val="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自2023年1月1日至本项目投标截止之日（以合同签订时间为准），投标人承接过政府部门委托的设施类安全巡查、安全监管技术服务或设施委托维护（含安全检查内容）相关工作的，每提供1份合同得3分，本项最高得9分。</w:t>
            </w:r>
          </w:p>
          <w:p>
            <w:pPr>
              <w:widowControl/>
              <w:spacing w:line="360" w:lineRule="exact"/>
              <w:outlineLvl w:val="0"/>
              <w:rPr>
                <w:rFonts w:hint="eastAsia" w:ascii="CESI仿宋-GB2312" w:hAnsi="CESI仿宋-GB2312" w:eastAsia="CESI仿宋-GB2312" w:cs="CESI仿宋-GB2312"/>
                <w:sz w:val="24"/>
                <w:szCs w:val="24"/>
              </w:rPr>
            </w:pPr>
          </w:p>
          <w:p>
            <w:pPr>
              <w:widowControl/>
              <w:spacing w:line="360" w:lineRule="exact"/>
              <w:outlineLvl w:val="0"/>
              <w:rPr>
                <w:rFonts w:hint="eastAsia" w:ascii="CESI仿宋-GB2312" w:hAnsi="CESI仿宋-GB2312" w:eastAsia="CESI仿宋-GB2312" w:cs="CESI仿宋-GB2312"/>
                <w:sz w:val="24"/>
                <w:szCs w:val="24"/>
              </w:rPr>
            </w:pPr>
            <w:r>
              <w:rPr>
                <w:rFonts w:hint="eastAsia" w:ascii="CESI仿宋-GB2312" w:hAnsi="CESI仿宋-GB2312" w:eastAsia="CESI仿宋-GB2312" w:cs="CESI仿宋-GB2312"/>
                <w:b/>
                <w:bCs/>
                <w:kern w:val="36"/>
                <w:sz w:val="24"/>
                <w:szCs w:val="24"/>
              </w:rPr>
              <w:t>证明材料：</w:t>
            </w:r>
            <w:r>
              <w:rPr>
                <w:rFonts w:hint="eastAsia" w:ascii="CESI仿宋-GB2312" w:hAnsi="CESI仿宋-GB2312" w:eastAsia="CESI仿宋-GB2312" w:cs="CESI仿宋-GB2312"/>
                <w:sz w:val="24"/>
                <w:szCs w:val="24"/>
              </w:rPr>
              <w:t>要求提供签订合同的关键页面（含签订合同双方的单位名称、合同服务内容、合同签署页）等证明材料作为得分依据。合同服务内容中须体现“安全巡查”或“安全检查”或“安全监管”等关键词。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43" w:hRule="atLeast"/>
          <w:jc w:val="center"/>
        </w:trPr>
        <w:tc>
          <w:tcPr>
            <w:tcW w:w="734" w:type="dxa"/>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4</w:t>
            </w:r>
          </w:p>
        </w:tc>
        <w:tc>
          <w:tcPr>
            <w:tcW w:w="1642" w:type="dxa"/>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服务方案</w:t>
            </w:r>
          </w:p>
        </w:tc>
        <w:tc>
          <w:tcPr>
            <w:tcW w:w="768" w:type="dxa"/>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10</w:t>
            </w:r>
          </w:p>
        </w:tc>
        <w:tc>
          <w:tcPr>
            <w:tcW w:w="6312" w:type="dxa"/>
            <w:vAlign w:val="center"/>
          </w:tcPr>
          <w:p>
            <w:pPr>
              <w:widowControl/>
              <w:spacing w:line="360" w:lineRule="exact"/>
              <w:outlineLvl w:val="0"/>
              <w:rPr>
                <w:rFonts w:hint="eastAsia" w:ascii="CESI仿宋-GB2312" w:hAnsi="CESI仿宋-GB2312" w:eastAsia="CESI仿宋-GB2312" w:cs="CESI仿宋-GB2312"/>
                <w:b/>
                <w:bCs/>
                <w:kern w:val="36"/>
                <w:sz w:val="24"/>
                <w:szCs w:val="24"/>
              </w:rPr>
            </w:pPr>
            <w:r>
              <w:rPr>
                <w:rFonts w:hint="eastAsia" w:ascii="CESI仿宋-GB2312" w:hAnsi="CESI仿宋-GB2312" w:eastAsia="CESI仿宋-GB2312" w:cs="CESI仿宋-GB2312"/>
                <w:b/>
                <w:bCs/>
                <w:kern w:val="36"/>
                <w:sz w:val="24"/>
                <w:szCs w:val="24"/>
              </w:rPr>
              <w:t>评标委员会根据投标人针对项目需求提供的服务方案进行评审，包括以下内容：</w:t>
            </w:r>
          </w:p>
          <w:p>
            <w:pPr>
              <w:widowControl/>
              <w:spacing w:line="360" w:lineRule="exact"/>
              <w:outlineLvl w:val="0"/>
              <w:rPr>
                <w:rFonts w:hint="eastAsia" w:ascii="CESI仿宋-GB2312" w:hAnsi="CESI仿宋-GB2312" w:eastAsia="CESI仿宋-GB2312" w:cs="CESI仿宋-GB2312"/>
                <w:kern w:val="36"/>
                <w:sz w:val="24"/>
                <w:szCs w:val="24"/>
              </w:rPr>
            </w:pPr>
            <w:r>
              <w:rPr>
                <w:rFonts w:ascii="CESI仿宋-GB2312" w:hAnsi="CESI仿宋-GB2312" w:eastAsia="CESI仿宋-GB2312" w:cs="CESI仿宋-GB2312"/>
                <w:kern w:val="36"/>
                <w:sz w:val="24"/>
                <w:szCs w:val="24"/>
              </w:rPr>
              <w:t>1</w:t>
            </w:r>
            <w:r>
              <w:rPr>
                <w:rFonts w:hint="eastAsia" w:ascii="CESI仿宋-GB2312" w:hAnsi="CESI仿宋-GB2312" w:eastAsia="CESI仿宋-GB2312" w:cs="CESI仿宋-GB2312"/>
                <w:kern w:val="36"/>
                <w:sz w:val="24"/>
                <w:szCs w:val="24"/>
              </w:rPr>
              <w:t>、</w:t>
            </w:r>
            <w:r>
              <w:rPr>
                <w:rFonts w:ascii="CESI仿宋-GB2312" w:hAnsi="CESI仿宋-GB2312" w:eastAsia="CESI仿宋-GB2312" w:cs="CESI仿宋-GB2312"/>
                <w:kern w:val="36"/>
                <w:sz w:val="24"/>
                <w:szCs w:val="24"/>
              </w:rPr>
              <w:t>项目理解、重点难点分析及总体工作思路；</w:t>
            </w:r>
            <w:r>
              <w:rPr>
                <w:rFonts w:ascii="CESI仿宋-GB2312" w:hAnsi="CESI仿宋-GB2312" w:eastAsia="CESI仿宋-GB2312" w:cs="CESI仿宋-GB2312"/>
                <w:kern w:val="36"/>
                <w:sz w:val="24"/>
                <w:szCs w:val="24"/>
              </w:rPr>
              <w:br w:type="textWrapping"/>
            </w:r>
            <w:r>
              <w:rPr>
                <w:rFonts w:ascii="CESI仿宋-GB2312" w:hAnsi="CESI仿宋-GB2312" w:eastAsia="CESI仿宋-GB2312" w:cs="CESI仿宋-GB2312"/>
                <w:kern w:val="36"/>
                <w:sz w:val="24"/>
                <w:szCs w:val="24"/>
              </w:rPr>
              <w:t>2</w:t>
            </w:r>
            <w:r>
              <w:rPr>
                <w:rFonts w:hint="eastAsia" w:ascii="CESI仿宋-GB2312" w:hAnsi="CESI仿宋-GB2312" w:eastAsia="CESI仿宋-GB2312" w:cs="CESI仿宋-GB2312"/>
                <w:kern w:val="36"/>
                <w:sz w:val="24"/>
                <w:szCs w:val="24"/>
              </w:rPr>
              <w:t>、</w:t>
            </w:r>
            <w:r>
              <w:rPr>
                <w:rFonts w:ascii="CESI仿宋-GB2312" w:hAnsi="CESI仿宋-GB2312" w:eastAsia="CESI仿宋-GB2312" w:cs="CESI仿宋-GB2312"/>
                <w:kern w:val="36"/>
                <w:sz w:val="24"/>
                <w:szCs w:val="24"/>
              </w:rPr>
              <w:t>服务计划、</w:t>
            </w:r>
            <w:r>
              <w:rPr>
                <w:rFonts w:hint="eastAsia" w:ascii="CESI仿宋-GB2312" w:hAnsi="CESI仿宋-GB2312" w:eastAsia="CESI仿宋-GB2312" w:cs="CESI仿宋-GB2312"/>
                <w:kern w:val="36"/>
                <w:sz w:val="24"/>
                <w:szCs w:val="24"/>
              </w:rPr>
              <w:t>服务流程、服务方法；</w:t>
            </w:r>
            <w:r>
              <w:rPr>
                <w:rFonts w:ascii="CESI仿宋-GB2312" w:hAnsi="CESI仿宋-GB2312" w:eastAsia="CESI仿宋-GB2312" w:cs="CESI仿宋-GB2312"/>
                <w:kern w:val="36"/>
                <w:sz w:val="24"/>
                <w:szCs w:val="24"/>
              </w:rPr>
              <w:t xml:space="preserve"> </w:t>
            </w:r>
            <w:r>
              <w:rPr>
                <w:rFonts w:ascii="CESI仿宋-GB2312" w:hAnsi="CESI仿宋-GB2312" w:eastAsia="CESI仿宋-GB2312" w:cs="CESI仿宋-GB2312"/>
                <w:kern w:val="36"/>
                <w:sz w:val="24"/>
                <w:szCs w:val="24"/>
              </w:rPr>
              <w:br w:type="textWrapping"/>
            </w:r>
            <w:r>
              <w:rPr>
                <w:rFonts w:ascii="CESI仿宋-GB2312" w:hAnsi="CESI仿宋-GB2312" w:eastAsia="CESI仿宋-GB2312" w:cs="CESI仿宋-GB2312"/>
                <w:kern w:val="36"/>
                <w:sz w:val="24"/>
                <w:szCs w:val="24"/>
              </w:rPr>
              <w:t>3</w:t>
            </w:r>
            <w:r>
              <w:rPr>
                <w:rFonts w:hint="eastAsia" w:ascii="CESI仿宋-GB2312" w:hAnsi="CESI仿宋-GB2312" w:eastAsia="CESI仿宋-GB2312" w:cs="CESI仿宋-GB2312"/>
                <w:kern w:val="36"/>
                <w:sz w:val="24"/>
                <w:szCs w:val="24"/>
              </w:rPr>
              <w:t>、</w:t>
            </w:r>
            <w:r>
              <w:rPr>
                <w:rFonts w:ascii="CESI仿宋-GB2312" w:hAnsi="CESI仿宋-GB2312" w:eastAsia="CESI仿宋-GB2312" w:cs="CESI仿宋-GB2312"/>
                <w:kern w:val="36"/>
                <w:sz w:val="24"/>
                <w:szCs w:val="24"/>
              </w:rPr>
              <w:t>第三方人员廉洁管理或行为准则机制；</w:t>
            </w:r>
            <w:r>
              <w:rPr>
                <w:rFonts w:ascii="CESI仿宋-GB2312" w:hAnsi="CESI仿宋-GB2312" w:eastAsia="CESI仿宋-GB2312" w:cs="CESI仿宋-GB2312"/>
                <w:kern w:val="36"/>
                <w:sz w:val="24"/>
                <w:szCs w:val="24"/>
              </w:rPr>
              <w:br w:type="textWrapping"/>
            </w:r>
            <w:r>
              <w:rPr>
                <w:rFonts w:ascii="CESI仿宋-GB2312" w:hAnsi="CESI仿宋-GB2312" w:eastAsia="CESI仿宋-GB2312" w:cs="CESI仿宋-GB2312"/>
                <w:kern w:val="36"/>
                <w:sz w:val="24"/>
                <w:szCs w:val="24"/>
              </w:rPr>
              <w:t>4</w:t>
            </w:r>
            <w:r>
              <w:rPr>
                <w:rFonts w:hint="eastAsia" w:ascii="CESI仿宋-GB2312" w:hAnsi="CESI仿宋-GB2312" w:eastAsia="CESI仿宋-GB2312" w:cs="CESI仿宋-GB2312"/>
                <w:kern w:val="36"/>
                <w:sz w:val="24"/>
                <w:szCs w:val="24"/>
              </w:rPr>
              <w:t>、</w:t>
            </w:r>
            <w:r>
              <w:rPr>
                <w:rFonts w:ascii="CESI仿宋-GB2312" w:hAnsi="CESI仿宋-GB2312" w:eastAsia="CESI仿宋-GB2312" w:cs="CESI仿宋-GB2312"/>
                <w:kern w:val="36"/>
                <w:sz w:val="24"/>
                <w:szCs w:val="24"/>
              </w:rPr>
              <w:t>经验总结与合理化建议（包括</w:t>
            </w:r>
            <w:r>
              <w:rPr>
                <w:rFonts w:hint="eastAsia" w:ascii="CESI仿宋-GB2312" w:hAnsi="CESI仿宋-GB2312" w:eastAsia="CESI仿宋-GB2312" w:cs="CESI仿宋-GB2312"/>
                <w:kern w:val="36"/>
                <w:sz w:val="24"/>
                <w:szCs w:val="24"/>
              </w:rPr>
              <w:t>不限于</w:t>
            </w:r>
            <w:r>
              <w:rPr>
                <w:rFonts w:ascii="CESI仿宋-GB2312" w:hAnsi="CESI仿宋-GB2312" w:eastAsia="CESI仿宋-GB2312" w:cs="CESI仿宋-GB2312"/>
                <w:kern w:val="36"/>
                <w:sz w:val="24"/>
                <w:szCs w:val="24"/>
              </w:rPr>
              <w:t>摸排、安全管理、技术服务等经验及本项目可行建议）</w:t>
            </w:r>
            <w:r>
              <w:rPr>
                <w:rFonts w:hint="eastAsia" w:ascii="CESI仿宋-GB2312" w:hAnsi="CESI仿宋-GB2312" w:eastAsia="CESI仿宋-GB2312" w:cs="CESI仿宋-GB2312"/>
                <w:kern w:val="36"/>
                <w:sz w:val="24"/>
                <w:szCs w:val="24"/>
              </w:rPr>
              <w:t>。</w:t>
            </w:r>
          </w:p>
          <w:p>
            <w:pPr>
              <w:widowControl/>
              <w:spacing w:line="360" w:lineRule="exact"/>
              <w:outlineLvl w:val="0"/>
              <w:rPr>
                <w:rFonts w:hint="eastAsia" w:ascii="CESI仿宋-GB2312" w:hAnsi="CESI仿宋-GB2312" w:eastAsia="CESI仿宋-GB2312" w:cs="CESI仿宋-GB2312"/>
                <w:b/>
                <w:bCs/>
                <w:kern w:val="36"/>
                <w:sz w:val="24"/>
                <w:szCs w:val="24"/>
              </w:rPr>
            </w:pPr>
          </w:p>
          <w:p>
            <w:pPr>
              <w:widowControl/>
              <w:spacing w:line="360" w:lineRule="exact"/>
              <w:outlineLvl w:val="0"/>
              <w:rPr>
                <w:rFonts w:hint="eastAsia" w:ascii="CESI仿宋-GB2312" w:hAnsi="CESI仿宋-GB2312" w:eastAsia="CESI仿宋-GB2312" w:cs="CESI仿宋-GB2312"/>
                <w:b/>
                <w:bCs/>
                <w:kern w:val="36"/>
                <w:sz w:val="24"/>
                <w:szCs w:val="24"/>
              </w:rPr>
            </w:pPr>
            <w:r>
              <w:rPr>
                <w:rFonts w:hint="eastAsia" w:ascii="CESI仿宋-GB2312" w:hAnsi="CESI仿宋-GB2312" w:eastAsia="CESI仿宋-GB2312" w:cs="CESI仿宋-GB2312"/>
                <w:b/>
                <w:bCs/>
                <w:kern w:val="36"/>
                <w:sz w:val="24"/>
                <w:szCs w:val="24"/>
              </w:rPr>
              <w:t>评分标准：</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1、方案整体科学合理、针对性强、可操作性强，</w:t>
            </w:r>
            <w:r>
              <w:rPr>
                <w:rFonts w:ascii="CESI仿宋-GB2312" w:hAnsi="CESI仿宋-GB2312" w:eastAsia="CESI仿宋-GB2312" w:cs="CESI仿宋-GB2312"/>
                <w:kern w:val="36"/>
                <w:sz w:val="24"/>
                <w:szCs w:val="24"/>
              </w:rPr>
              <w:t>经验详实者</w:t>
            </w:r>
            <w:r>
              <w:rPr>
                <w:rFonts w:hint="eastAsia" w:ascii="CESI仿宋-GB2312" w:hAnsi="CESI仿宋-GB2312" w:eastAsia="CESI仿宋-GB2312" w:cs="CESI仿宋-GB2312"/>
                <w:kern w:val="36"/>
                <w:sz w:val="24"/>
                <w:szCs w:val="24"/>
              </w:rPr>
              <w:t>得8.5-10分；</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2、方案较合理、有一定针对性、一定可操作性，可操作性较好，得7.5</w:t>
            </w:r>
            <w:r>
              <w:rPr>
                <w:rFonts w:ascii="CESI仿宋-GB2312" w:hAnsi="CESI仿宋-GB2312" w:eastAsia="CESI仿宋-GB2312" w:cs="CESI仿宋-GB2312"/>
                <w:kern w:val="36"/>
                <w:sz w:val="24"/>
                <w:szCs w:val="24"/>
              </w:rPr>
              <w:t>–</w:t>
            </w:r>
            <w:r>
              <w:rPr>
                <w:rFonts w:hint="eastAsia" w:ascii="CESI仿宋-GB2312" w:hAnsi="CESI仿宋-GB2312" w:eastAsia="CESI仿宋-GB2312" w:cs="CESI仿宋-GB2312"/>
                <w:kern w:val="36"/>
                <w:sz w:val="24"/>
                <w:szCs w:val="24"/>
              </w:rPr>
              <w:t>8.4</w:t>
            </w:r>
            <w:r>
              <w:rPr>
                <w:rFonts w:ascii="CESI仿宋-GB2312" w:hAnsi="CESI仿宋-GB2312" w:eastAsia="CESI仿宋-GB2312" w:cs="CESI仿宋-GB2312"/>
                <w:kern w:val="36"/>
                <w:sz w:val="24"/>
                <w:szCs w:val="24"/>
              </w:rPr>
              <w:t>分</w:t>
            </w:r>
            <w:r>
              <w:rPr>
                <w:rFonts w:hint="eastAsia" w:ascii="CESI仿宋-GB2312" w:hAnsi="CESI仿宋-GB2312" w:eastAsia="CESI仿宋-GB2312" w:cs="CESI仿宋-GB2312"/>
                <w:kern w:val="36"/>
                <w:sz w:val="24"/>
                <w:szCs w:val="24"/>
              </w:rPr>
              <w:t>；</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3、方案基本合理、针对性一般、可操作性一般，得6–7.4分；</w:t>
            </w:r>
          </w:p>
          <w:p>
            <w:pPr>
              <w:pStyle w:val="2"/>
            </w:pPr>
            <w:r>
              <w:rPr>
                <w:rFonts w:hint="eastAsia" w:ascii="CESI仿宋-GB2312" w:hAnsi="CESI仿宋-GB2312" w:eastAsia="CESI仿宋-GB2312" w:cs="CESI仿宋-GB2312"/>
                <w:kern w:val="36"/>
                <w:sz w:val="24"/>
                <w:szCs w:val="24"/>
              </w:rPr>
              <w:t>4、方案缺失或明显不合理，得0–5.9分。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80" w:hRule="atLeast"/>
          <w:jc w:val="center"/>
        </w:trPr>
        <w:tc>
          <w:tcPr>
            <w:tcW w:w="734" w:type="dxa"/>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5</w:t>
            </w:r>
          </w:p>
        </w:tc>
        <w:tc>
          <w:tcPr>
            <w:tcW w:w="1642" w:type="dxa"/>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服务响应</w:t>
            </w:r>
          </w:p>
        </w:tc>
        <w:tc>
          <w:tcPr>
            <w:tcW w:w="768" w:type="dxa"/>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10</w:t>
            </w:r>
          </w:p>
        </w:tc>
        <w:tc>
          <w:tcPr>
            <w:tcW w:w="6312" w:type="dxa"/>
            <w:vAlign w:val="center"/>
          </w:tcPr>
          <w:p>
            <w:pPr>
              <w:widowControl/>
              <w:spacing w:line="360" w:lineRule="exact"/>
              <w:outlineLvl w:val="0"/>
              <w:rPr>
                <w:rFonts w:hint="eastAsia" w:ascii="CESI仿宋-GB2312" w:hAnsi="CESI仿宋-GB2312" w:eastAsia="CESI仿宋-GB2312" w:cs="CESI仿宋-GB2312"/>
                <w:b/>
                <w:bCs/>
                <w:kern w:val="36"/>
                <w:sz w:val="24"/>
                <w:szCs w:val="24"/>
              </w:rPr>
            </w:pPr>
            <w:r>
              <w:rPr>
                <w:rFonts w:hint="eastAsia" w:ascii="CESI仿宋-GB2312" w:hAnsi="CESI仿宋-GB2312" w:eastAsia="CESI仿宋-GB2312" w:cs="CESI仿宋-GB2312"/>
                <w:b/>
                <w:bCs/>
                <w:kern w:val="36"/>
                <w:sz w:val="24"/>
                <w:szCs w:val="24"/>
              </w:rPr>
              <w:t>评标委员会根据投标人提供的服务响应内容进行评审，包括以下内容：</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1、</w:t>
            </w:r>
            <w:r>
              <w:rPr>
                <w:rFonts w:ascii="CESI仿宋-GB2312" w:hAnsi="CESI仿宋-GB2312" w:eastAsia="CESI仿宋-GB2312" w:cs="CESI仿宋-GB2312"/>
                <w:kern w:val="36"/>
                <w:sz w:val="24"/>
                <w:szCs w:val="24"/>
              </w:rPr>
              <w:t>人员配置</w:t>
            </w:r>
            <w:r>
              <w:rPr>
                <w:rFonts w:hint="eastAsia" w:ascii="CESI仿宋-GB2312" w:hAnsi="CESI仿宋-GB2312" w:eastAsia="CESI仿宋-GB2312" w:cs="CESI仿宋-GB2312"/>
                <w:kern w:val="36"/>
                <w:sz w:val="24"/>
                <w:szCs w:val="24"/>
              </w:rPr>
              <w:t>；</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2、服务质量；</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3、服务效率；</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4、服务便利性（提供企业在深圳市固定办公场所证明文件原件扫描件或截图）。</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b/>
                <w:bCs/>
                <w:kern w:val="36"/>
                <w:sz w:val="24"/>
                <w:szCs w:val="24"/>
              </w:rPr>
              <w:t>评定标准</w:t>
            </w:r>
            <w:r>
              <w:rPr>
                <w:rFonts w:hint="eastAsia" w:ascii="CESI仿宋-GB2312" w:hAnsi="CESI仿宋-GB2312" w:eastAsia="CESI仿宋-GB2312" w:cs="CESI仿宋-GB2312"/>
                <w:kern w:val="36"/>
                <w:sz w:val="24"/>
                <w:szCs w:val="24"/>
              </w:rPr>
              <w:t>：</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1、人员配备充足（服务人员不少于</w:t>
            </w:r>
            <w:r>
              <w:rPr>
                <w:rFonts w:hint="eastAsia" w:ascii="CESI仿宋-GB2312" w:hAnsi="CESI仿宋-GB2312" w:eastAsia="CESI仿宋-GB2312" w:cs="CESI仿宋-GB2312"/>
                <w:kern w:val="36"/>
                <w:sz w:val="24"/>
                <w:szCs w:val="24"/>
                <w:lang w:val="en-US" w:eastAsia="zh-CN"/>
              </w:rPr>
              <w:t>10</w:t>
            </w:r>
            <w:r>
              <w:rPr>
                <w:rFonts w:hint="eastAsia" w:ascii="CESI仿宋-GB2312" w:hAnsi="CESI仿宋-GB2312" w:eastAsia="CESI仿宋-GB2312" w:cs="CESI仿宋-GB2312"/>
                <w:kern w:val="36"/>
                <w:sz w:val="24"/>
                <w:szCs w:val="24"/>
              </w:rPr>
              <w:t>人）、服务质量高、响应程度强，得8.5-10分；</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2、人员配备充足（服务人员不少于</w:t>
            </w:r>
            <w:r>
              <w:rPr>
                <w:rFonts w:hint="eastAsia" w:ascii="CESI仿宋-GB2312" w:hAnsi="CESI仿宋-GB2312" w:eastAsia="CESI仿宋-GB2312" w:cs="CESI仿宋-GB2312"/>
                <w:kern w:val="36"/>
                <w:sz w:val="24"/>
                <w:szCs w:val="24"/>
                <w:lang w:val="en-US" w:eastAsia="zh-CN"/>
              </w:rPr>
              <w:t>10</w:t>
            </w:r>
            <w:r>
              <w:rPr>
                <w:rFonts w:hint="eastAsia" w:ascii="CESI仿宋-GB2312" w:hAnsi="CESI仿宋-GB2312" w:eastAsia="CESI仿宋-GB2312" w:cs="CESI仿宋-GB2312"/>
                <w:kern w:val="36"/>
                <w:sz w:val="24"/>
                <w:szCs w:val="24"/>
              </w:rPr>
              <w:t>人）、服务质量较高、响应程度较高，得7.5</w:t>
            </w:r>
            <w:r>
              <w:rPr>
                <w:rFonts w:ascii="CESI仿宋-GB2312" w:hAnsi="CESI仿宋-GB2312" w:eastAsia="CESI仿宋-GB2312" w:cs="CESI仿宋-GB2312"/>
                <w:kern w:val="36"/>
                <w:sz w:val="24"/>
                <w:szCs w:val="24"/>
              </w:rPr>
              <w:t>–</w:t>
            </w:r>
            <w:r>
              <w:rPr>
                <w:rFonts w:hint="eastAsia" w:ascii="CESI仿宋-GB2312" w:hAnsi="CESI仿宋-GB2312" w:eastAsia="CESI仿宋-GB2312" w:cs="CESI仿宋-GB2312"/>
                <w:kern w:val="36"/>
                <w:sz w:val="24"/>
                <w:szCs w:val="24"/>
              </w:rPr>
              <w:t>8.4</w:t>
            </w:r>
            <w:r>
              <w:rPr>
                <w:rFonts w:ascii="CESI仿宋-GB2312" w:hAnsi="CESI仿宋-GB2312" w:eastAsia="CESI仿宋-GB2312" w:cs="CESI仿宋-GB2312"/>
                <w:kern w:val="36"/>
                <w:sz w:val="24"/>
                <w:szCs w:val="24"/>
              </w:rPr>
              <w:t>分</w:t>
            </w:r>
            <w:r>
              <w:rPr>
                <w:rFonts w:hint="eastAsia" w:ascii="CESI仿宋-GB2312" w:hAnsi="CESI仿宋-GB2312" w:eastAsia="CESI仿宋-GB2312" w:cs="CESI仿宋-GB2312"/>
                <w:kern w:val="36"/>
                <w:sz w:val="24"/>
                <w:szCs w:val="24"/>
              </w:rPr>
              <w:t>；</w:t>
            </w:r>
          </w:p>
          <w:p>
            <w:pPr>
              <w:widowControl/>
              <w:spacing w:line="360" w:lineRule="exact"/>
              <w:outlineLvl w:val="0"/>
              <w:rPr>
                <w:rFonts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3、人员配备一般（服务人员不少于</w:t>
            </w:r>
            <w:r>
              <w:rPr>
                <w:rFonts w:hint="eastAsia" w:ascii="CESI仿宋-GB2312" w:hAnsi="CESI仿宋-GB2312" w:eastAsia="CESI仿宋-GB2312" w:cs="CESI仿宋-GB2312"/>
                <w:kern w:val="36"/>
                <w:sz w:val="24"/>
                <w:szCs w:val="24"/>
                <w:lang w:val="en-US" w:eastAsia="zh-CN"/>
              </w:rPr>
              <w:t>10</w:t>
            </w:r>
            <w:r>
              <w:rPr>
                <w:rFonts w:hint="eastAsia" w:ascii="CESI仿宋-GB2312" w:hAnsi="CESI仿宋-GB2312" w:eastAsia="CESI仿宋-GB2312" w:cs="CESI仿宋-GB2312"/>
                <w:kern w:val="36"/>
                <w:sz w:val="24"/>
                <w:szCs w:val="24"/>
              </w:rPr>
              <w:t>人）、服务质量一般、响应程度一般，6–7.4分;</w:t>
            </w:r>
          </w:p>
          <w:p>
            <w:pPr>
              <w:widowControl/>
              <w:spacing w:line="360" w:lineRule="exact"/>
              <w:outlineLvl w:val="0"/>
              <w:rPr>
                <w:rFonts w:hint="eastAsia"/>
              </w:rPr>
            </w:pPr>
            <w:r>
              <w:rPr>
                <w:rFonts w:hint="eastAsia" w:ascii="CESI仿宋-GB2312" w:hAnsi="CESI仿宋-GB2312" w:eastAsia="CESI仿宋-GB2312" w:cs="CESI仿宋-GB2312"/>
                <w:kern w:val="36"/>
                <w:sz w:val="24"/>
                <w:szCs w:val="24"/>
              </w:rPr>
              <w:t>4、员配备一般（服务人员少于</w:t>
            </w:r>
            <w:r>
              <w:rPr>
                <w:rFonts w:hint="eastAsia" w:ascii="CESI仿宋-GB2312" w:hAnsi="CESI仿宋-GB2312" w:eastAsia="CESI仿宋-GB2312" w:cs="CESI仿宋-GB2312"/>
                <w:kern w:val="36"/>
                <w:sz w:val="24"/>
                <w:szCs w:val="24"/>
                <w:lang w:val="en-US" w:eastAsia="zh-CN"/>
              </w:rPr>
              <w:t>10</w:t>
            </w:r>
            <w:r>
              <w:rPr>
                <w:rFonts w:hint="eastAsia" w:ascii="CESI仿宋-GB2312" w:hAnsi="CESI仿宋-GB2312" w:eastAsia="CESI仿宋-GB2312" w:cs="CESI仿宋-GB2312"/>
                <w:kern w:val="36"/>
                <w:sz w:val="24"/>
                <w:szCs w:val="24"/>
              </w:rPr>
              <w:t>人）、服务质量、响应程度不足，得0–5.9分。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08" w:hRule="atLeast"/>
          <w:jc w:val="center"/>
        </w:trPr>
        <w:tc>
          <w:tcPr>
            <w:tcW w:w="734" w:type="dxa"/>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6</w:t>
            </w:r>
          </w:p>
        </w:tc>
        <w:tc>
          <w:tcPr>
            <w:tcW w:w="1642" w:type="dxa"/>
            <w:vAlign w:val="center"/>
          </w:tcPr>
          <w:p>
            <w:pPr>
              <w:widowControl/>
              <w:spacing w:line="560" w:lineRule="exact"/>
              <w:jc w:val="center"/>
              <w:outlineLvl w:val="0"/>
              <w:rPr>
                <w:rFonts w:hint="eastAsia" w:ascii="CESI仿宋-GB2312" w:hAnsi="CESI仿宋-GB2312" w:eastAsia="CESI仿宋-GB2312" w:cs="CESI仿宋-GB2312"/>
                <w:color w:val="FF0000"/>
                <w:kern w:val="36"/>
                <w:sz w:val="24"/>
                <w:szCs w:val="24"/>
              </w:rPr>
            </w:pPr>
            <w:r>
              <w:rPr>
                <w:rFonts w:hint="eastAsia" w:ascii="CESI仿宋-GB2312" w:hAnsi="CESI仿宋-GB2312" w:eastAsia="CESI仿宋-GB2312" w:cs="CESI仿宋-GB2312"/>
                <w:kern w:val="36"/>
                <w:sz w:val="24"/>
                <w:szCs w:val="24"/>
              </w:rPr>
              <w:t>人员配备</w:t>
            </w:r>
          </w:p>
        </w:tc>
        <w:tc>
          <w:tcPr>
            <w:tcW w:w="768" w:type="dxa"/>
            <w:vAlign w:val="center"/>
          </w:tcPr>
          <w:p>
            <w:pPr>
              <w:widowControl/>
              <w:spacing w:line="560" w:lineRule="exact"/>
              <w:jc w:val="center"/>
              <w:outlineLvl w:val="0"/>
              <w:rPr>
                <w:rFonts w:hint="eastAsia" w:ascii="CESI仿宋-GB2312" w:hAnsi="CESI仿宋-GB2312" w:eastAsia="CESI仿宋-GB2312" w:cs="CESI仿宋-GB2312"/>
                <w:color w:val="FF0000"/>
                <w:kern w:val="36"/>
                <w:sz w:val="24"/>
                <w:szCs w:val="24"/>
              </w:rPr>
            </w:pPr>
            <w:r>
              <w:rPr>
                <w:rFonts w:hint="eastAsia" w:ascii="CESI仿宋-GB2312" w:hAnsi="CESI仿宋-GB2312" w:eastAsia="CESI仿宋-GB2312" w:cs="CESI仿宋-GB2312"/>
                <w:kern w:val="36"/>
                <w:sz w:val="24"/>
                <w:szCs w:val="24"/>
              </w:rPr>
              <w:t>40</w:t>
            </w:r>
          </w:p>
        </w:tc>
        <w:tc>
          <w:tcPr>
            <w:tcW w:w="6312" w:type="dxa"/>
            <w:vAlign w:val="center"/>
          </w:tcPr>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b/>
                <w:bCs/>
                <w:kern w:val="36"/>
                <w:sz w:val="24"/>
                <w:szCs w:val="24"/>
              </w:rPr>
              <w:t>一、项目负责人情况（12分）</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1、项目负责人由中级及以上工程师担任：中级工程师得4分；高级工程师得6分；</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2、项目负责人具有中级注册安全工程师资格证书的，得4分；具备高级注册安全工程师资格证书的，得6分。</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负责人须为同一人，</w:t>
            </w:r>
            <w:r>
              <w:rPr>
                <w:rFonts w:ascii="CESI仿宋-GB2312" w:hAnsi="CESI仿宋-GB2312" w:eastAsia="CESI仿宋-GB2312" w:cs="CESI仿宋-GB2312"/>
                <w:kern w:val="36"/>
                <w:sz w:val="24"/>
                <w:szCs w:val="24"/>
              </w:rPr>
              <w:t>同一人同时满足职称和资格条件的，可累计计分，最高不超过1</w:t>
            </w:r>
            <w:r>
              <w:rPr>
                <w:rFonts w:hint="eastAsia" w:ascii="CESI仿宋-GB2312" w:hAnsi="CESI仿宋-GB2312" w:eastAsia="CESI仿宋-GB2312" w:cs="CESI仿宋-GB2312"/>
                <w:kern w:val="36"/>
                <w:sz w:val="24"/>
                <w:szCs w:val="24"/>
              </w:rPr>
              <w:t>2</w:t>
            </w:r>
            <w:r>
              <w:rPr>
                <w:rFonts w:ascii="CESI仿宋-GB2312" w:hAnsi="CESI仿宋-GB2312" w:eastAsia="CESI仿宋-GB2312" w:cs="CESI仿宋-GB2312"/>
                <w:kern w:val="36"/>
                <w:sz w:val="24"/>
                <w:szCs w:val="24"/>
              </w:rPr>
              <w:t>分。</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b/>
                <w:bCs/>
                <w:kern w:val="36"/>
                <w:sz w:val="24"/>
                <w:szCs w:val="24"/>
              </w:rPr>
              <w:t>二、拟派检查组其他人员（28分）</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1、具有人力资源部门或应急管理部门颁发的中级消防设施操作员证或中级注册安全工程师证，每人得4分，最高得16分；</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2、具有应急管理部门颁发的特种作业人员（低压电工）操作证，每人得</w:t>
            </w:r>
            <w:r>
              <w:rPr>
                <w:rFonts w:hint="eastAsia" w:ascii="CESI仿宋-GB2312" w:hAnsi="CESI仿宋-GB2312" w:eastAsia="CESI仿宋-GB2312" w:cs="CESI仿宋-GB2312"/>
                <w:kern w:val="36"/>
                <w:sz w:val="24"/>
                <w:szCs w:val="24"/>
                <w:lang w:val="en-US" w:eastAsia="zh-CN"/>
              </w:rPr>
              <w:t>3</w:t>
            </w:r>
            <w:r>
              <w:rPr>
                <w:rFonts w:hint="eastAsia" w:ascii="CESI仿宋-GB2312" w:hAnsi="CESI仿宋-GB2312" w:eastAsia="CESI仿宋-GB2312" w:cs="CESI仿宋-GB2312"/>
                <w:kern w:val="36"/>
                <w:sz w:val="24"/>
                <w:szCs w:val="24"/>
              </w:rPr>
              <w:t>分，最高得12分。</w:t>
            </w:r>
          </w:p>
          <w:p>
            <w:pPr>
              <w:widowControl/>
              <w:spacing w:line="360" w:lineRule="exact"/>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同一人员同时满足上述两项条件的，仍按一人计分，不重复加分；每人最多得4分。</w:t>
            </w:r>
          </w:p>
          <w:p>
            <w:pPr>
              <w:widowControl/>
              <w:spacing w:line="360" w:lineRule="exact"/>
              <w:outlineLvl w:val="0"/>
            </w:pPr>
            <w:r>
              <w:rPr>
                <w:rFonts w:hint="eastAsia" w:ascii="CESI仿宋-GB2312" w:hAnsi="CESI仿宋-GB2312" w:eastAsia="CESI仿宋-GB2312" w:cs="CESI仿宋-GB2312"/>
                <w:b/>
                <w:bCs/>
                <w:kern w:val="36"/>
                <w:sz w:val="24"/>
                <w:szCs w:val="24"/>
              </w:rPr>
              <w:t>证明材料：</w:t>
            </w:r>
            <w:r>
              <w:rPr>
                <w:rFonts w:hint="eastAsia" w:ascii="CESI仿宋-GB2312" w:hAnsi="CESI仿宋-GB2312" w:eastAsia="CESI仿宋-GB2312" w:cs="CESI仿宋-GB2312"/>
                <w:kern w:val="36"/>
                <w:sz w:val="24"/>
                <w:szCs w:val="24"/>
              </w:rPr>
              <w:t>要求提供相关证明资料作为得分依据。项目负责人和拟派检查组其他人员证书或职业资格等应提供</w:t>
            </w:r>
            <w:r>
              <w:rPr>
                <w:rFonts w:ascii="CESI仿宋-GB2312" w:hAnsi="CESI仿宋-GB2312" w:eastAsia="CESI仿宋-GB2312" w:cs="CESI仿宋-GB2312"/>
                <w:kern w:val="36"/>
                <w:sz w:val="24"/>
                <w:szCs w:val="24"/>
              </w:rPr>
              <w:t>国家指定的</w:t>
            </w:r>
            <w:r>
              <w:rPr>
                <w:rFonts w:ascii="Arial" w:hAnsi="Arial" w:eastAsia="CESI仿宋-GB2312" w:cs="Arial"/>
                <w:kern w:val="36"/>
                <w:sz w:val="24"/>
                <w:szCs w:val="24"/>
              </w:rPr>
              <w:t>‌</w:t>
            </w:r>
            <w:r>
              <w:rPr>
                <w:rFonts w:ascii="CESI仿宋-GB2312" w:hAnsi="CESI仿宋-GB2312" w:eastAsia="CESI仿宋-GB2312" w:cs="CESI仿宋-GB2312"/>
                <w:kern w:val="36"/>
                <w:sz w:val="24"/>
                <w:szCs w:val="24"/>
              </w:rPr>
              <w:t>官方渠道</w:t>
            </w:r>
            <w:r>
              <w:rPr>
                <w:rFonts w:ascii="Arial" w:hAnsi="Arial" w:eastAsia="CESI仿宋-GB2312" w:cs="Arial"/>
                <w:kern w:val="36"/>
                <w:sz w:val="24"/>
                <w:szCs w:val="24"/>
              </w:rPr>
              <w:t>‌</w:t>
            </w:r>
            <w:r>
              <w:rPr>
                <w:rFonts w:hint="eastAsia" w:ascii="CESI仿宋-GB2312" w:hAnsi="CESI仿宋-GB2312" w:eastAsia="CESI仿宋-GB2312" w:cs="CESI仿宋-GB2312"/>
                <w:kern w:val="36"/>
                <w:sz w:val="24"/>
                <w:szCs w:val="24"/>
              </w:rPr>
              <w:t>查验截图。提供相关人员开标日当月（或前一个月）在本单位缴纳且载有社保部门（或税务部门）公章（或税务部门公章）的社保缴交证明材料。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376" w:type="dxa"/>
            <w:gridSpan w:val="2"/>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合计</w:t>
            </w:r>
          </w:p>
        </w:tc>
        <w:tc>
          <w:tcPr>
            <w:tcW w:w="768" w:type="dxa"/>
            <w:vAlign w:val="center"/>
          </w:tcPr>
          <w:p>
            <w:pPr>
              <w:widowControl/>
              <w:spacing w:line="560" w:lineRule="exact"/>
              <w:jc w:val="center"/>
              <w:outlineLvl w:val="0"/>
              <w:rPr>
                <w:rFonts w:hint="eastAsia" w:ascii="CESI仿宋-GB2312" w:hAnsi="CESI仿宋-GB2312" w:eastAsia="CESI仿宋-GB2312" w:cs="CESI仿宋-GB2312"/>
                <w:kern w:val="36"/>
                <w:sz w:val="24"/>
                <w:szCs w:val="24"/>
              </w:rPr>
            </w:pPr>
            <w:r>
              <w:rPr>
                <w:rFonts w:hint="eastAsia" w:ascii="CESI仿宋-GB2312" w:hAnsi="CESI仿宋-GB2312" w:eastAsia="CESI仿宋-GB2312" w:cs="CESI仿宋-GB2312"/>
                <w:kern w:val="36"/>
                <w:sz w:val="24"/>
                <w:szCs w:val="24"/>
              </w:rPr>
              <w:t>100</w:t>
            </w:r>
          </w:p>
        </w:tc>
        <w:tc>
          <w:tcPr>
            <w:tcW w:w="6312" w:type="dxa"/>
            <w:vAlign w:val="center"/>
          </w:tcPr>
          <w:p/>
        </w:tc>
      </w:tr>
    </w:tbl>
    <w:p>
      <w:pPr>
        <w:widowControl/>
        <w:spacing w:line="360" w:lineRule="exact"/>
        <w:outlineLvl w:val="0"/>
        <w:rPr>
          <w:rFonts w:hint="eastAsia" w:ascii="CESI仿宋-GB2312" w:hAnsi="CESI仿宋-GB2312" w:eastAsia="CESI仿宋-GB2312" w:cs="CESI仿宋-GB2312"/>
          <w:kern w:val="36"/>
          <w:sz w:val="28"/>
          <w:szCs w:val="28"/>
        </w:rPr>
      </w:pPr>
      <w:r>
        <w:rPr>
          <w:rFonts w:hint="eastAsia" w:ascii="CESI仿宋-GB2312" w:hAnsi="CESI仿宋-GB2312" w:eastAsia="CESI仿宋-GB2312" w:cs="CESI仿宋-GB2312"/>
          <w:kern w:val="36"/>
          <w:sz w:val="28"/>
          <w:szCs w:val="28"/>
        </w:rPr>
        <w:t xml:space="preserve">评标人：                               </w:t>
      </w:r>
      <w:r>
        <w:rPr>
          <w:rFonts w:ascii="CESI仿宋-GB2312" w:hAnsi="CESI仿宋-GB2312" w:eastAsia="CESI仿宋-GB2312" w:cs="CESI仿宋-GB2312"/>
          <w:kern w:val="36"/>
          <w:sz w:val="28"/>
          <w:szCs w:val="28"/>
        </w:rPr>
        <w:t>评标时间：</w:t>
      </w:r>
    </w:p>
    <w:p>
      <w:pPr>
        <w:pStyle w:val="2"/>
        <w:rPr>
          <w:sz w:val="28"/>
          <w:szCs w:val="28"/>
        </w:rPr>
      </w:pPr>
    </w:p>
    <w:sectPr>
      <w:footerReference r:id="rId3" w:type="default"/>
      <w:pgSz w:w="11906" w:h="16838"/>
      <w:pgMar w:top="1587" w:right="1814" w:bottom="1474" w:left="181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长城仿宋">
    <w:altName w:val="方正仿宋_GBK"/>
    <w:panose1 w:val="00000000000000000000"/>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O9sZGvRAAAAAgEAAA8AAAAAAAAAAQAgAAAA&#10;OAAAAGRycy9kb3ducmV2LnhtbFBLAQIUABQAAAAIAIdO4kA3lfiuNQIAAGAEAAAOAAAAAAAAAAEA&#10;IAAAADYBAABkcnMvZTJvRG9jLnhtbFBLBQYAAAAABgAGAFkBAADd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57"/>
    <w:rsid w:val="000138EC"/>
    <w:rsid w:val="000205C7"/>
    <w:rsid w:val="00052E59"/>
    <w:rsid w:val="00054EC5"/>
    <w:rsid w:val="00087609"/>
    <w:rsid w:val="000F0B0D"/>
    <w:rsid w:val="001536CC"/>
    <w:rsid w:val="001543CD"/>
    <w:rsid w:val="00157CE6"/>
    <w:rsid w:val="001A73F7"/>
    <w:rsid w:val="001B44F6"/>
    <w:rsid w:val="001E322A"/>
    <w:rsid w:val="0027158E"/>
    <w:rsid w:val="002D1D54"/>
    <w:rsid w:val="002D4692"/>
    <w:rsid w:val="002E4747"/>
    <w:rsid w:val="002F5A31"/>
    <w:rsid w:val="00307A75"/>
    <w:rsid w:val="003374DE"/>
    <w:rsid w:val="00366BEF"/>
    <w:rsid w:val="003B1B1B"/>
    <w:rsid w:val="003D6273"/>
    <w:rsid w:val="003E4C83"/>
    <w:rsid w:val="004161BD"/>
    <w:rsid w:val="00443868"/>
    <w:rsid w:val="00453703"/>
    <w:rsid w:val="004831D2"/>
    <w:rsid w:val="00483902"/>
    <w:rsid w:val="00487A87"/>
    <w:rsid w:val="004B35EA"/>
    <w:rsid w:val="004D6778"/>
    <w:rsid w:val="004F0FAD"/>
    <w:rsid w:val="00504D89"/>
    <w:rsid w:val="00544D1B"/>
    <w:rsid w:val="00547455"/>
    <w:rsid w:val="005713F7"/>
    <w:rsid w:val="005C44E1"/>
    <w:rsid w:val="005D51D8"/>
    <w:rsid w:val="005D730C"/>
    <w:rsid w:val="0063602C"/>
    <w:rsid w:val="006401C0"/>
    <w:rsid w:val="006459B4"/>
    <w:rsid w:val="00653458"/>
    <w:rsid w:val="0065799A"/>
    <w:rsid w:val="0066067A"/>
    <w:rsid w:val="00667B75"/>
    <w:rsid w:val="006743F6"/>
    <w:rsid w:val="00694E0F"/>
    <w:rsid w:val="006A51FC"/>
    <w:rsid w:val="00760CE1"/>
    <w:rsid w:val="007730B1"/>
    <w:rsid w:val="00781BBC"/>
    <w:rsid w:val="007B28CD"/>
    <w:rsid w:val="007D3A93"/>
    <w:rsid w:val="007D6AE6"/>
    <w:rsid w:val="00810C38"/>
    <w:rsid w:val="00885881"/>
    <w:rsid w:val="008C69C1"/>
    <w:rsid w:val="009043CC"/>
    <w:rsid w:val="00910A68"/>
    <w:rsid w:val="00916A27"/>
    <w:rsid w:val="0097454D"/>
    <w:rsid w:val="00986578"/>
    <w:rsid w:val="009A1DCD"/>
    <w:rsid w:val="009B0B57"/>
    <w:rsid w:val="00A26BD4"/>
    <w:rsid w:val="00A3554E"/>
    <w:rsid w:val="00A57386"/>
    <w:rsid w:val="00A727B6"/>
    <w:rsid w:val="00A81A21"/>
    <w:rsid w:val="00AB2B3A"/>
    <w:rsid w:val="00AB3CFC"/>
    <w:rsid w:val="00AC6C07"/>
    <w:rsid w:val="00AC7B27"/>
    <w:rsid w:val="00B12C79"/>
    <w:rsid w:val="00C27399"/>
    <w:rsid w:val="00CB1AD4"/>
    <w:rsid w:val="00CC2159"/>
    <w:rsid w:val="00CC52AF"/>
    <w:rsid w:val="00CD2749"/>
    <w:rsid w:val="00CE4793"/>
    <w:rsid w:val="00CE5874"/>
    <w:rsid w:val="00D154A0"/>
    <w:rsid w:val="00D41B51"/>
    <w:rsid w:val="00D41DFE"/>
    <w:rsid w:val="00D55138"/>
    <w:rsid w:val="00D601C3"/>
    <w:rsid w:val="00D80B68"/>
    <w:rsid w:val="00DB6DAF"/>
    <w:rsid w:val="00E04C80"/>
    <w:rsid w:val="00E47C79"/>
    <w:rsid w:val="00E602B3"/>
    <w:rsid w:val="00E81ACB"/>
    <w:rsid w:val="00E9304C"/>
    <w:rsid w:val="00EB1323"/>
    <w:rsid w:val="00EB186D"/>
    <w:rsid w:val="00EC3A42"/>
    <w:rsid w:val="00EF78B8"/>
    <w:rsid w:val="00F52AFB"/>
    <w:rsid w:val="00F70954"/>
    <w:rsid w:val="083904D1"/>
    <w:rsid w:val="09590D04"/>
    <w:rsid w:val="0CD757F5"/>
    <w:rsid w:val="0FDF2966"/>
    <w:rsid w:val="18725691"/>
    <w:rsid w:val="1A680851"/>
    <w:rsid w:val="1A7E46C7"/>
    <w:rsid w:val="1B466575"/>
    <w:rsid w:val="1B4D318A"/>
    <w:rsid w:val="1BF7D4C0"/>
    <w:rsid w:val="1C9632DA"/>
    <w:rsid w:val="1DA2767B"/>
    <w:rsid w:val="1DFD397F"/>
    <w:rsid w:val="1F4F3444"/>
    <w:rsid w:val="1F7F11A2"/>
    <w:rsid w:val="24170A4B"/>
    <w:rsid w:val="259B91E4"/>
    <w:rsid w:val="27BA175A"/>
    <w:rsid w:val="27F59322"/>
    <w:rsid w:val="29C638C5"/>
    <w:rsid w:val="2BEF843D"/>
    <w:rsid w:val="2DBF7095"/>
    <w:rsid w:val="2EBB7D17"/>
    <w:rsid w:val="325B0EEA"/>
    <w:rsid w:val="361338C6"/>
    <w:rsid w:val="367B2377"/>
    <w:rsid w:val="37BDA41A"/>
    <w:rsid w:val="39FE6279"/>
    <w:rsid w:val="3A444B9F"/>
    <w:rsid w:val="3B7E6B1A"/>
    <w:rsid w:val="3BF7021D"/>
    <w:rsid w:val="3D172119"/>
    <w:rsid w:val="3EB14715"/>
    <w:rsid w:val="3F6CC91D"/>
    <w:rsid w:val="3FB59C56"/>
    <w:rsid w:val="3FFBCFC3"/>
    <w:rsid w:val="41FF0C16"/>
    <w:rsid w:val="42111CF6"/>
    <w:rsid w:val="47FE5169"/>
    <w:rsid w:val="4AE7745E"/>
    <w:rsid w:val="4BAC53E6"/>
    <w:rsid w:val="4DFFEC5C"/>
    <w:rsid w:val="4FDCA9F8"/>
    <w:rsid w:val="4FF596BD"/>
    <w:rsid w:val="57FB0BE9"/>
    <w:rsid w:val="57FD6A7D"/>
    <w:rsid w:val="57FFA158"/>
    <w:rsid w:val="5803033F"/>
    <w:rsid w:val="586A6750"/>
    <w:rsid w:val="5B6DC821"/>
    <w:rsid w:val="5C2D79B8"/>
    <w:rsid w:val="5DFF580A"/>
    <w:rsid w:val="5E1D2DB8"/>
    <w:rsid w:val="5EC7813C"/>
    <w:rsid w:val="5ECB67A9"/>
    <w:rsid w:val="5F2FE9CD"/>
    <w:rsid w:val="5F4F5584"/>
    <w:rsid w:val="5FBFDF6F"/>
    <w:rsid w:val="5FD7A418"/>
    <w:rsid w:val="5FFFFD04"/>
    <w:rsid w:val="61D55C38"/>
    <w:rsid w:val="6211375B"/>
    <w:rsid w:val="622E7E38"/>
    <w:rsid w:val="679FD4D7"/>
    <w:rsid w:val="67FD8FEE"/>
    <w:rsid w:val="688FD70C"/>
    <w:rsid w:val="6BBF48EE"/>
    <w:rsid w:val="6BFBC60B"/>
    <w:rsid w:val="6D9474D6"/>
    <w:rsid w:val="6DF3A842"/>
    <w:rsid w:val="6E99B01F"/>
    <w:rsid w:val="6EBD17DE"/>
    <w:rsid w:val="6FF5A1B4"/>
    <w:rsid w:val="6FFE499B"/>
    <w:rsid w:val="6FFF3980"/>
    <w:rsid w:val="73FF7F24"/>
    <w:rsid w:val="757D205D"/>
    <w:rsid w:val="76EF0B1D"/>
    <w:rsid w:val="76F46AB4"/>
    <w:rsid w:val="779F2043"/>
    <w:rsid w:val="77BE5147"/>
    <w:rsid w:val="77F4C5B3"/>
    <w:rsid w:val="77FF153F"/>
    <w:rsid w:val="77FFD0AB"/>
    <w:rsid w:val="79CA4CCB"/>
    <w:rsid w:val="7A9F5786"/>
    <w:rsid w:val="7AA3CA31"/>
    <w:rsid w:val="7AFC5697"/>
    <w:rsid w:val="7B73DD9F"/>
    <w:rsid w:val="7BDF1509"/>
    <w:rsid w:val="7BE31F09"/>
    <w:rsid w:val="7BFAA22D"/>
    <w:rsid w:val="7CDFEE7D"/>
    <w:rsid w:val="7D72D0E7"/>
    <w:rsid w:val="7D87634F"/>
    <w:rsid w:val="7DE31540"/>
    <w:rsid w:val="7E1F016E"/>
    <w:rsid w:val="7EB72219"/>
    <w:rsid w:val="7EDE13A6"/>
    <w:rsid w:val="7EEE5F09"/>
    <w:rsid w:val="7EF7E6A5"/>
    <w:rsid w:val="7EFF7A91"/>
    <w:rsid w:val="7EFF8AD7"/>
    <w:rsid w:val="7F1FEB94"/>
    <w:rsid w:val="7F4CB91C"/>
    <w:rsid w:val="7F678C53"/>
    <w:rsid w:val="7F6BD2D5"/>
    <w:rsid w:val="7F7F58ED"/>
    <w:rsid w:val="7FACCA52"/>
    <w:rsid w:val="7FAF0441"/>
    <w:rsid w:val="7FB3161C"/>
    <w:rsid w:val="7FBA1BB1"/>
    <w:rsid w:val="7FED295E"/>
    <w:rsid w:val="7FF5390A"/>
    <w:rsid w:val="7FFB7992"/>
    <w:rsid w:val="7FFB7CBC"/>
    <w:rsid w:val="7FFEC6F8"/>
    <w:rsid w:val="8ADD6B9E"/>
    <w:rsid w:val="8BD9EC54"/>
    <w:rsid w:val="8FF50B00"/>
    <w:rsid w:val="9E7B4F41"/>
    <w:rsid w:val="9EDEC82A"/>
    <w:rsid w:val="9FFAC11E"/>
    <w:rsid w:val="A73ED86D"/>
    <w:rsid w:val="AE7FE5A4"/>
    <w:rsid w:val="AF1BDE59"/>
    <w:rsid w:val="AFB701EA"/>
    <w:rsid w:val="AFFC964C"/>
    <w:rsid w:val="B3877FFA"/>
    <w:rsid w:val="B6F7F395"/>
    <w:rsid w:val="B7E74EE0"/>
    <w:rsid w:val="BBEF58AE"/>
    <w:rsid w:val="BDE6E68B"/>
    <w:rsid w:val="BE7E54A9"/>
    <w:rsid w:val="BEDB723F"/>
    <w:rsid w:val="BEF72707"/>
    <w:rsid w:val="BF6C8A3C"/>
    <w:rsid w:val="BFFED870"/>
    <w:rsid w:val="BFFF6A40"/>
    <w:rsid w:val="BFFFCDA4"/>
    <w:rsid w:val="BFFFCF2E"/>
    <w:rsid w:val="C5ED90F5"/>
    <w:rsid w:val="CF7FBADF"/>
    <w:rsid w:val="CFBF8273"/>
    <w:rsid w:val="D337C6EF"/>
    <w:rsid w:val="D4CBD754"/>
    <w:rsid w:val="D5DF3298"/>
    <w:rsid w:val="DAFF7946"/>
    <w:rsid w:val="DE7F2286"/>
    <w:rsid w:val="DE7F4191"/>
    <w:rsid w:val="DEF182CE"/>
    <w:rsid w:val="DFF13647"/>
    <w:rsid w:val="DFF8E1AA"/>
    <w:rsid w:val="E3DE320A"/>
    <w:rsid w:val="E5FD3C88"/>
    <w:rsid w:val="E73D8179"/>
    <w:rsid w:val="E76310BB"/>
    <w:rsid w:val="E7AE27C5"/>
    <w:rsid w:val="E7BE4C18"/>
    <w:rsid w:val="E7BF8A06"/>
    <w:rsid w:val="E7FF5335"/>
    <w:rsid w:val="EDDF210E"/>
    <w:rsid w:val="EE9FA992"/>
    <w:rsid w:val="EED616FA"/>
    <w:rsid w:val="EEDFB77F"/>
    <w:rsid w:val="EF7D6597"/>
    <w:rsid w:val="F31EAF54"/>
    <w:rsid w:val="F56BAF68"/>
    <w:rsid w:val="F5FA5E05"/>
    <w:rsid w:val="F69E2C17"/>
    <w:rsid w:val="F6FAA219"/>
    <w:rsid w:val="F7B9DD15"/>
    <w:rsid w:val="F7DE88D2"/>
    <w:rsid w:val="F9C65DC0"/>
    <w:rsid w:val="FABBF4E0"/>
    <w:rsid w:val="FB1FB918"/>
    <w:rsid w:val="FBBF9EFF"/>
    <w:rsid w:val="FBFD63E3"/>
    <w:rsid w:val="FBFED72F"/>
    <w:rsid w:val="FCFB4524"/>
    <w:rsid w:val="FDBFFF5F"/>
    <w:rsid w:val="FEBFEF1E"/>
    <w:rsid w:val="FEFF555A"/>
    <w:rsid w:val="FF765AEF"/>
    <w:rsid w:val="FF7756A1"/>
    <w:rsid w:val="FF9AF35C"/>
    <w:rsid w:val="FFB072E9"/>
    <w:rsid w:val="FFD7F0AD"/>
    <w:rsid w:val="FFFD540E"/>
    <w:rsid w:val="FFFF9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6"/>
    <w:unhideWhenUsed/>
    <w:qFormat/>
    <w:uiPriority w:val="1"/>
    <w:pPr>
      <w:spacing w:after="120"/>
    </w:pPr>
  </w:style>
  <w:style w:type="paragraph" w:styleId="3">
    <w:name w:val="Normal Indent"/>
    <w:basedOn w:val="1"/>
    <w:qFormat/>
    <w:uiPriority w:val="0"/>
    <w:pPr>
      <w:ind w:firstLine="420"/>
    </w:pPr>
    <w:rPr>
      <w:szCs w:val="20"/>
    </w:rPr>
  </w:style>
  <w:style w:type="paragraph" w:styleId="4">
    <w:name w:val="annotation text"/>
    <w:basedOn w:val="1"/>
    <w:link w:val="22"/>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unhideWhenUsed/>
    <w:qFormat/>
    <w:uiPriority w:val="99"/>
    <w:pPr>
      <w:spacing w:beforeAutospacing="1" w:afterAutospacing="1"/>
      <w:jc w:val="left"/>
    </w:pPr>
    <w:rPr>
      <w:rFonts w:cs="Times New Roman"/>
      <w:kern w:val="0"/>
      <w:sz w:val="24"/>
    </w:rPr>
  </w:style>
  <w:style w:type="paragraph" w:styleId="10">
    <w:name w:val="annotation subject"/>
    <w:basedOn w:val="4"/>
    <w:next w:val="4"/>
    <w:link w:val="23"/>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page number"/>
    <w:basedOn w:val="13"/>
    <w:qFormat/>
    <w:uiPriority w:val="0"/>
  </w:style>
  <w:style w:type="character" w:styleId="15">
    <w:name w:val="Hyperlink"/>
    <w:basedOn w:val="13"/>
    <w:semiHidden/>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paragraph" w:customStyle="1" w:styleId="17">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18">
    <w:name w:val="页脚 字符"/>
    <w:basedOn w:val="13"/>
    <w:link w:val="6"/>
    <w:qFormat/>
    <w:uiPriority w:val="99"/>
    <w:rPr>
      <w:sz w:val="18"/>
      <w:szCs w:val="18"/>
    </w:rPr>
  </w:style>
  <w:style w:type="paragraph" w:customStyle="1" w:styleId="19">
    <w:name w:val="列出段落1"/>
    <w:basedOn w:val="1"/>
    <w:qFormat/>
    <w:uiPriority w:val="34"/>
    <w:pPr>
      <w:ind w:firstLine="420" w:firstLineChars="200"/>
    </w:pPr>
  </w:style>
  <w:style w:type="character" w:customStyle="1" w:styleId="20">
    <w:name w:val="页眉 字符"/>
    <w:basedOn w:val="13"/>
    <w:link w:val="7"/>
    <w:qFormat/>
    <w:uiPriority w:val="99"/>
    <w:rPr>
      <w:sz w:val="18"/>
      <w:szCs w:val="18"/>
    </w:rPr>
  </w:style>
  <w:style w:type="character" w:customStyle="1" w:styleId="21">
    <w:name w:val="批注框文本 字符"/>
    <w:basedOn w:val="13"/>
    <w:link w:val="5"/>
    <w:semiHidden/>
    <w:qFormat/>
    <w:uiPriority w:val="99"/>
    <w:rPr>
      <w:kern w:val="2"/>
      <w:sz w:val="18"/>
      <w:szCs w:val="18"/>
    </w:rPr>
  </w:style>
  <w:style w:type="character" w:customStyle="1" w:styleId="22">
    <w:name w:val="批注文字 字符"/>
    <w:basedOn w:val="13"/>
    <w:link w:val="4"/>
    <w:semiHidden/>
    <w:qFormat/>
    <w:uiPriority w:val="99"/>
    <w:rPr>
      <w:rFonts w:asciiTheme="minorHAnsi" w:hAnsiTheme="minorHAnsi" w:eastAsiaTheme="minorEastAsia" w:cstheme="minorBidi"/>
      <w:kern w:val="2"/>
      <w:sz w:val="21"/>
      <w:szCs w:val="22"/>
    </w:rPr>
  </w:style>
  <w:style w:type="character" w:customStyle="1" w:styleId="23">
    <w:name w:val="批注主题 字符"/>
    <w:basedOn w:val="22"/>
    <w:link w:val="10"/>
    <w:semiHidden/>
    <w:qFormat/>
    <w:uiPriority w:val="99"/>
    <w:rPr>
      <w:rFonts w:asciiTheme="minorHAnsi" w:hAnsiTheme="minorHAnsi" w:eastAsiaTheme="minorEastAsia" w:cstheme="minorBidi"/>
      <w:b/>
      <w:bCs/>
      <w:kern w:val="2"/>
      <w:sz w:val="21"/>
      <w:szCs w:val="22"/>
    </w:rPr>
  </w:style>
  <w:style w:type="paragraph" w:customStyle="1" w:styleId="2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styleId="25">
    <w:name w:val="List Paragraph"/>
    <w:basedOn w:val="1"/>
    <w:unhideWhenUsed/>
    <w:qFormat/>
    <w:uiPriority w:val="99"/>
    <w:pPr>
      <w:ind w:firstLine="420" w:firstLineChars="200"/>
    </w:pPr>
  </w:style>
  <w:style w:type="character" w:customStyle="1" w:styleId="26">
    <w:name w:val="正文文本 字符"/>
    <w:basedOn w:val="13"/>
    <w:link w:val="2"/>
    <w:qFormat/>
    <w:uiPriority w:val="1"/>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237</Words>
  <Characters>1356</Characters>
  <Lines>11</Lines>
  <Paragraphs>3</Paragraphs>
  <TotalTime>124</TotalTime>
  <ScaleCrop>false</ScaleCrop>
  <LinksUpToDate>false</LinksUpToDate>
  <CharactersWithSpaces>1590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2026-03-25T13:06:00Z</dcterms:created>
  <dc:creator>w</dc:creator>
  <cp:lastModifiedBy>曾丽晓</cp:lastModifiedBy>
  <cp:lastPrinted>2026-03-27T08:52:00Z</cp:lastPrinted>
  <dcterms:modified xsi:type="dcterms:W3CDTF">2026-04-07T10:39:40Z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26D6E1CE8A8A49D8B3CEFBC5EEB91FA0</vt:lpwstr>
  </property>
  <property fmtid="{D5CDD505-2E9C-101B-9397-08002B2CF9AE}" pid="4" name="KSOTemplateDocerSaveRecord">
    <vt:lpwstr>eyJoZGlkIjoiYTgzMGEyMDk1NDQ4YjNlNzEzZDZhYWU3ZmQ3N2ZjNGUiLCJ1c2VySWQiOiI1NzcxNDkyNjYifQ==</vt:lpwstr>
  </property>
</Properties>
</file>